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1C" w:rsidRDefault="000A2246" w:rsidP="000A2246">
      <w:pPr>
        <w:pStyle w:val="CommentText"/>
        <w:jc w:val="right"/>
        <w:rPr>
          <w:b/>
          <w:bCs/>
          <w:sz w:val="32"/>
          <w:u w:val="single"/>
        </w:rPr>
      </w:pPr>
      <w:r>
        <w:rPr>
          <w:noProof/>
          <w:lang w:eastAsia="en-GB"/>
        </w:rPr>
        <w:drawing>
          <wp:inline distT="0" distB="0" distL="0" distR="0" wp14:anchorId="5113403D" wp14:editId="6A944351">
            <wp:extent cx="943610" cy="1253490"/>
            <wp:effectExtent l="0" t="0" r="8890" b="381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B73E1C" w:rsidRPr="002859F2" w:rsidRDefault="00B73E1C" w:rsidP="00B73E1C">
      <w:pPr>
        <w:tabs>
          <w:tab w:val="left" w:pos="2160"/>
        </w:tabs>
        <w:rPr>
          <w:rFonts w:cs="Arial"/>
          <w:b/>
          <w:bCs/>
        </w:rPr>
      </w:pPr>
      <w:r w:rsidRPr="002859F2">
        <w:rPr>
          <w:rFonts w:cs="Arial"/>
          <w:b/>
          <w:bCs/>
        </w:rPr>
        <w:t xml:space="preserve">To: </w:t>
      </w:r>
      <w:r w:rsidR="002859F2" w:rsidRPr="002859F2">
        <w:rPr>
          <w:rFonts w:cs="Arial"/>
          <w:b/>
          <w:bCs/>
        </w:rPr>
        <w:tab/>
      </w:r>
      <w:r w:rsidRPr="002859F2">
        <w:rPr>
          <w:rFonts w:cs="Arial"/>
          <w:b/>
          <w:bCs/>
        </w:rPr>
        <w:t>Council</w:t>
      </w:r>
      <w:r w:rsidRPr="002859F2">
        <w:rPr>
          <w:rFonts w:cs="Arial"/>
          <w:b/>
          <w:bCs/>
        </w:rPr>
        <w:tab/>
      </w:r>
      <w:r w:rsidRPr="002859F2">
        <w:rPr>
          <w:rFonts w:cs="Arial"/>
          <w:b/>
          <w:bCs/>
        </w:rPr>
        <w:tab/>
      </w:r>
      <w:r w:rsidRPr="002859F2">
        <w:rPr>
          <w:rFonts w:cs="Arial"/>
          <w:b/>
          <w:bCs/>
        </w:rPr>
        <w:tab/>
      </w:r>
    </w:p>
    <w:p w:rsidR="00B73E1C" w:rsidRPr="002859F2" w:rsidRDefault="002859F2" w:rsidP="00B73E1C">
      <w:pPr>
        <w:tabs>
          <w:tab w:val="left" w:pos="2160"/>
          <w:tab w:val="left" w:pos="6300"/>
          <w:tab w:val="left" w:pos="7380"/>
        </w:tabs>
        <w:rPr>
          <w:rFonts w:cs="Arial"/>
          <w:b/>
          <w:bCs/>
        </w:rPr>
      </w:pPr>
      <w:r w:rsidRPr="002859F2">
        <w:rPr>
          <w:rFonts w:cs="Arial"/>
          <w:b/>
          <w:bCs/>
        </w:rPr>
        <w:t xml:space="preserve">Date: </w:t>
      </w:r>
      <w:r w:rsidRPr="002859F2">
        <w:rPr>
          <w:rFonts w:cs="Arial"/>
          <w:b/>
          <w:bCs/>
        </w:rPr>
        <w:tab/>
        <w:t>5</w:t>
      </w:r>
      <w:r w:rsidR="002572CE" w:rsidRPr="002859F2">
        <w:rPr>
          <w:rFonts w:cs="Arial"/>
          <w:b/>
          <w:bCs/>
        </w:rPr>
        <w:t xml:space="preserve"> December</w:t>
      </w:r>
      <w:r w:rsidR="00804A8B" w:rsidRPr="002859F2">
        <w:rPr>
          <w:rFonts w:cs="Arial"/>
          <w:b/>
          <w:bCs/>
        </w:rPr>
        <w:t xml:space="preserve"> 2016 </w:t>
      </w:r>
    </w:p>
    <w:p w:rsidR="00B73E1C" w:rsidRPr="002859F2" w:rsidRDefault="00B73E1C" w:rsidP="00B73E1C">
      <w:pPr>
        <w:tabs>
          <w:tab w:val="left" w:pos="2160"/>
          <w:tab w:val="left" w:pos="6300"/>
          <w:tab w:val="left" w:pos="7380"/>
        </w:tabs>
        <w:rPr>
          <w:rFonts w:cs="Arial"/>
          <w:b/>
          <w:bCs/>
        </w:rPr>
      </w:pPr>
      <w:r w:rsidRPr="002859F2">
        <w:rPr>
          <w:rFonts w:cs="Arial"/>
          <w:b/>
          <w:bCs/>
        </w:rPr>
        <w:t xml:space="preserve">Report of: </w:t>
      </w:r>
      <w:r w:rsidR="002859F2" w:rsidRPr="002859F2">
        <w:rPr>
          <w:rFonts w:cs="Arial"/>
          <w:b/>
          <w:bCs/>
        </w:rPr>
        <w:tab/>
      </w:r>
      <w:r w:rsidR="00804A8B" w:rsidRPr="002859F2">
        <w:rPr>
          <w:rFonts w:cs="Arial"/>
          <w:b/>
          <w:bCs/>
        </w:rPr>
        <w:t>Regeneration</w:t>
      </w:r>
      <w:r w:rsidR="00C346A7" w:rsidRPr="002859F2">
        <w:rPr>
          <w:rFonts w:cs="Arial"/>
          <w:b/>
          <w:bCs/>
        </w:rPr>
        <w:t>, Economy</w:t>
      </w:r>
      <w:r w:rsidR="00804A8B" w:rsidRPr="002859F2">
        <w:rPr>
          <w:rFonts w:cs="Arial"/>
          <w:b/>
          <w:bCs/>
        </w:rPr>
        <w:t xml:space="preserve"> and Partnerships</w:t>
      </w:r>
    </w:p>
    <w:p w:rsidR="00B73E1C" w:rsidRPr="002859F2" w:rsidRDefault="00B73E1C" w:rsidP="00B73E1C">
      <w:pPr>
        <w:tabs>
          <w:tab w:val="left" w:pos="2160"/>
        </w:tabs>
        <w:rPr>
          <w:rFonts w:cs="Arial"/>
          <w:b/>
          <w:bCs/>
        </w:rPr>
      </w:pPr>
      <w:r w:rsidRPr="002859F2">
        <w:rPr>
          <w:rFonts w:cs="Arial"/>
          <w:b/>
          <w:bCs/>
        </w:rPr>
        <w:t xml:space="preserve">Title of Report: </w:t>
      </w:r>
      <w:r w:rsidR="00D20D97" w:rsidRPr="002859F2">
        <w:rPr>
          <w:rFonts w:cs="Arial"/>
          <w:b/>
          <w:bCs/>
        </w:rPr>
        <w:t xml:space="preserve"> </w:t>
      </w:r>
      <w:r w:rsidR="002859F2" w:rsidRPr="002859F2">
        <w:rPr>
          <w:rFonts w:cs="Arial"/>
          <w:b/>
          <w:bCs/>
        </w:rPr>
        <w:tab/>
      </w:r>
      <w:r w:rsidR="00804A8B" w:rsidRPr="002859F2">
        <w:rPr>
          <w:rFonts w:cs="Arial"/>
          <w:b/>
          <w:bCs/>
        </w:rPr>
        <w:t>The Oxfordshire Local Enterprise Partnership</w:t>
      </w:r>
    </w:p>
    <w:p w:rsidR="00804A8B" w:rsidRPr="00804A8B" w:rsidRDefault="00804A8B" w:rsidP="00804A8B">
      <w:pPr>
        <w:pBdr>
          <w:top w:val="single" w:sz="4" w:space="1" w:color="auto"/>
          <w:left w:val="single" w:sz="4" w:space="4" w:color="auto"/>
          <w:bottom w:val="single" w:sz="4" w:space="1" w:color="auto"/>
          <w:right w:val="single" w:sz="4" w:space="4" w:color="auto"/>
        </w:pBdr>
        <w:jc w:val="center"/>
        <w:rPr>
          <w:b/>
          <w:bCs/>
          <w:u w:val="single"/>
        </w:rPr>
      </w:pPr>
      <w:r w:rsidRPr="00804A8B">
        <w:rPr>
          <w:b/>
          <w:bCs/>
          <w:u w:val="single"/>
        </w:rPr>
        <w:t>Summary and Recommendations</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 xml:space="preserve">Purpose of report: </w:t>
      </w:r>
      <w:r w:rsidRPr="00804A8B">
        <w:rPr>
          <w:bCs/>
        </w:rPr>
        <w:t>To provide members with an update on the work of the Oxfordshire Local Enterprise Partnership</w:t>
      </w:r>
      <w:r w:rsidR="00F81B64">
        <w:rPr>
          <w:bCs/>
        </w:rPr>
        <w:t xml:space="preserve"> including its changing role,</w:t>
      </w:r>
      <w:r>
        <w:rPr>
          <w:bCs/>
        </w:rPr>
        <w:t xml:space="preserve"> recent strategic developments,</w:t>
      </w:r>
      <w:r w:rsidR="00F81B64">
        <w:rPr>
          <w:bCs/>
        </w:rPr>
        <w:t xml:space="preserve"> and impact on</w:t>
      </w:r>
      <w:r>
        <w:rPr>
          <w:bCs/>
        </w:rPr>
        <w:t xml:space="preserve"> funding attraction and delivery.</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Report approved by:</w:t>
      </w:r>
      <w:r w:rsidR="002572CE">
        <w:rPr>
          <w:b/>
          <w:bCs/>
          <w:u w:val="single"/>
        </w:rPr>
        <w:t xml:space="preserve"> </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Executive lead member:</w:t>
      </w:r>
      <w:r w:rsidRPr="00804A8B">
        <w:rPr>
          <w:b/>
          <w:bCs/>
        </w:rPr>
        <w:t xml:space="preserve"> </w:t>
      </w:r>
      <w:r w:rsidRPr="00804A8B">
        <w:rPr>
          <w:bCs/>
        </w:rPr>
        <w:t>Councillor Bob Price</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Policy Framework:</w:t>
      </w:r>
      <w:r w:rsidRPr="00804A8B">
        <w:rPr>
          <w:b/>
          <w:bCs/>
        </w:rPr>
        <w:t xml:space="preserve"> </w:t>
      </w:r>
      <w:r w:rsidRPr="00804A8B">
        <w:rPr>
          <w:bCs/>
        </w:rPr>
        <w:t>The Corporate Plan</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Recommendation:</w:t>
      </w:r>
    </w:p>
    <w:p w:rsidR="00B73E1C" w:rsidRPr="00804A8B" w:rsidRDefault="00804A8B" w:rsidP="00804A8B">
      <w:pPr>
        <w:pBdr>
          <w:top w:val="single" w:sz="4" w:space="1" w:color="auto"/>
          <w:left w:val="single" w:sz="4" w:space="4" w:color="auto"/>
          <w:bottom w:val="single" w:sz="4" w:space="1" w:color="auto"/>
          <w:right w:val="single" w:sz="4" w:space="4" w:color="auto"/>
        </w:pBdr>
        <w:rPr>
          <w:bCs/>
        </w:rPr>
      </w:pPr>
      <w:r w:rsidRPr="00804A8B">
        <w:rPr>
          <w:bCs/>
        </w:rPr>
        <w:t xml:space="preserve">1. </w:t>
      </w:r>
      <w:r w:rsidR="003258E7">
        <w:rPr>
          <w:bCs/>
        </w:rPr>
        <w:t>That the report be noted.</w:t>
      </w:r>
    </w:p>
    <w:p w:rsidR="00804A8B" w:rsidRPr="00804A8B" w:rsidRDefault="00804A8B" w:rsidP="00804A8B">
      <w:pPr>
        <w:rPr>
          <w:rFonts w:cs="Arial"/>
          <w:b/>
        </w:rPr>
      </w:pPr>
      <w:r w:rsidRPr="00804A8B">
        <w:rPr>
          <w:rFonts w:cs="Arial"/>
          <w:b/>
        </w:rPr>
        <w:t xml:space="preserve">The role </w:t>
      </w:r>
      <w:r w:rsidR="00664BE5">
        <w:rPr>
          <w:rFonts w:cs="Arial"/>
          <w:b/>
        </w:rPr>
        <w:t>and context relating to</w:t>
      </w:r>
      <w:r w:rsidRPr="00804A8B">
        <w:rPr>
          <w:rFonts w:cs="Arial"/>
          <w:b/>
        </w:rPr>
        <w:t xml:space="preserve"> the Oxfordshire Local Enterprise Partnership</w:t>
      </w:r>
    </w:p>
    <w:p w:rsidR="000639F9" w:rsidRPr="00B71E82" w:rsidRDefault="00804A8B" w:rsidP="000A2246">
      <w:pPr>
        <w:pStyle w:val="ListParagraph"/>
        <w:numPr>
          <w:ilvl w:val="0"/>
          <w:numId w:val="18"/>
        </w:numPr>
        <w:ind w:left="360"/>
        <w:rPr>
          <w:rFonts w:cs="Arial"/>
        </w:rPr>
      </w:pPr>
      <w:r w:rsidRPr="00EF67AA">
        <w:rPr>
          <w:rFonts w:cs="Arial"/>
        </w:rPr>
        <w:t>The Oxfordshire Local Enterprise Partnership (</w:t>
      </w:r>
      <w:r w:rsidR="003258E7">
        <w:rPr>
          <w:rFonts w:cs="Arial"/>
        </w:rPr>
        <w:t>Ox</w:t>
      </w:r>
      <w:r w:rsidRPr="00EF67AA">
        <w:rPr>
          <w:rFonts w:cs="Arial"/>
        </w:rPr>
        <w:t>LEP)</w:t>
      </w:r>
      <w:r w:rsidR="002572CE">
        <w:rPr>
          <w:rFonts w:cs="Arial"/>
        </w:rPr>
        <w:t xml:space="preserve"> is a Limited Company</w:t>
      </w:r>
      <w:r w:rsidRPr="00EF67AA">
        <w:rPr>
          <w:rFonts w:cs="Arial"/>
        </w:rPr>
        <w:t xml:space="preserve"> responsible for </w:t>
      </w:r>
      <w:r w:rsidR="00D10ABC">
        <w:rPr>
          <w:rFonts w:cs="Arial"/>
        </w:rPr>
        <w:t xml:space="preserve">facilitating </w:t>
      </w:r>
      <w:r w:rsidR="00D10ABC" w:rsidRPr="00EF67AA">
        <w:rPr>
          <w:rFonts w:cs="Arial"/>
        </w:rPr>
        <w:t>the</w:t>
      </w:r>
      <w:r w:rsidR="00D10ABC">
        <w:rPr>
          <w:rFonts w:cs="Arial"/>
        </w:rPr>
        <w:t xml:space="preserve"> strategic </w:t>
      </w:r>
      <w:r w:rsidRPr="00EF67AA">
        <w:rPr>
          <w:rFonts w:cs="Arial"/>
        </w:rPr>
        <w:t>development of the Oxfordshire economy and is now</w:t>
      </w:r>
      <w:r w:rsidR="00EF67AA" w:rsidRPr="00EF67AA">
        <w:rPr>
          <w:rFonts w:cs="Arial"/>
        </w:rPr>
        <w:t xml:space="preserve"> well</w:t>
      </w:r>
      <w:r w:rsidRPr="00EF67AA">
        <w:rPr>
          <w:rFonts w:cs="Arial"/>
        </w:rPr>
        <w:t xml:space="preserve"> established as </w:t>
      </w:r>
      <w:r w:rsidR="00EF67AA" w:rsidRPr="00EF67AA">
        <w:rPr>
          <w:rFonts w:cs="Arial"/>
        </w:rPr>
        <w:t xml:space="preserve">a key strategic partnership </w:t>
      </w:r>
      <w:r w:rsidR="00C40C00">
        <w:rPr>
          <w:rFonts w:cs="Arial"/>
        </w:rPr>
        <w:t>promoting</w:t>
      </w:r>
      <w:r w:rsidR="003258E7">
        <w:rPr>
          <w:rFonts w:cs="Arial"/>
        </w:rPr>
        <w:t xml:space="preserve"> </w:t>
      </w:r>
      <w:r w:rsidR="00A61F98">
        <w:rPr>
          <w:rFonts w:cs="Arial"/>
        </w:rPr>
        <w:t>economic growth</w:t>
      </w:r>
      <w:r w:rsidRPr="00EF67AA">
        <w:rPr>
          <w:rFonts w:cs="Arial"/>
        </w:rPr>
        <w:t xml:space="preserve">. </w:t>
      </w:r>
      <w:r w:rsidR="00C346A7">
        <w:rPr>
          <w:rFonts w:cs="Arial"/>
        </w:rPr>
        <w:t>Chief Executive of the Partnership, Nigel Tipple</w:t>
      </w:r>
      <w:r w:rsidR="00C21A3A">
        <w:rPr>
          <w:rFonts w:cs="Arial"/>
        </w:rPr>
        <w:t xml:space="preserve"> leads a</w:t>
      </w:r>
      <w:r w:rsidR="00EF67AA" w:rsidRPr="00B71E82">
        <w:rPr>
          <w:rFonts w:cs="Arial"/>
        </w:rPr>
        <w:t xml:space="preserve"> team of direct staff</w:t>
      </w:r>
      <w:r w:rsidR="00C40C00">
        <w:rPr>
          <w:rFonts w:cs="Arial"/>
        </w:rPr>
        <w:t xml:space="preserve"> and</w:t>
      </w:r>
      <w:r w:rsidR="00F81B64">
        <w:rPr>
          <w:rFonts w:cs="Arial"/>
        </w:rPr>
        <w:t xml:space="preserve"> seconded employees</w:t>
      </w:r>
      <w:r w:rsidR="00C40C00">
        <w:rPr>
          <w:rFonts w:cs="Arial"/>
        </w:rPr>
        <w:t xml:space="preserve">, who work closely with a </w:t>
      </w:r>
      <w:r w:rsidR="00C21A3A">
        <w:rPr>
          <w:rFonts w:cs="Arial"/>
        </w:rPr>
        <w:t>network of Economic Devel</w:t>
      </w:r>
      <w:r w:rsidR="00C40C00">
        <w:rPr>
          <w:rFonts w:cs="Arial"/>
        </w:rPr>
        <w:t>opment Officers, business representatives</w:t>
      </w:r>
      <w:r w:rsidR="00A61F98">
        <w:rPr>
          <w:rFonts w:cs="Arial"/>
        </w:rPr>
        <w:t>, and</w:t>
      </w:r>
      <w:r w:rsidR="00C40C00">
        <w:rPr>
          <w:rFonts w:cs="Arial"/>
        </w:rPr>
        <w:t xml:space="preserve"> staff within </w:t>
      </w:r>
      <w:r w:rsidR="00A61F98">
        <w:rPr>
          <w:rFonts w:cs="Arial"/>
        </w:rPr>
        <w:t>further and higher education.</w:t>
      </w:r>
    </w:p>
    <w:p w:rsidR="00B71E82" w:rsidRPr="00B71E82" w:rsidRDefault="00B71E82" w:rsidP="000A2246">
      <w:pPr>
        <w:pStyle w:val="ListParagraph"/>
        <w:ind w:left="360" w:hanging="360"/>
        <w:rPr>
          <w:rFonts w:cs="Arial"/>
        </w:rPr>
      </w:pPr>
    </w:p>
    <w:p w:rsidR="00240582" w:rsidRDefault="00C40C00" w:rsidP="000A2246">
      <w:pPr>
        <w:pStyle w:val="ListParagraph"/>
        <w:numPr>
          <w:ilvl w:val="0"/>
          <w:numId w:val="18"/>
        </w:numPr>
        <w:ind w:left="360"/>
        <w:rPr>
          <w:rFonts w:cs="Arial"/>
        </w:rPr>
      </w:pPr>
      <w:r>
        <w:rPr>
          <w:rFonts w:cs="Arial"/>
        </w:rPr>
        <w:t>Jeremy Long was appointed as Board Chair in March, and has a wide-ranging background</w:t>
      </w:r>
      <w:r w:rsidRPr="00DB2169">
        <w:rPr>
          <w:rFonts w:cs="Arial"/>
        </w:rPr>
        <w:t xml:space="preserve"> </w:t>
      </w:r>
      <w:r w:rsidR="00A61F98">
        <w:rPr>
          <w:rFonts w:cs="Arial"/>
        </w:rPr>
        <w:t>leading and developing businesses.</w:t>
      </w:r>
      <w:r w:rsidRPr="00DB2169">
        <w:rPr>
          <w:rFonts w:cs="Arial"/>
        </w:rPr>
        <w:t xml:space="preserve"> He is currently CEO for Europe of the Hong-Kong headquartered international railway and property group MTR Corporation. Mr Long</w:t>
      </w:r>
      <w:r>
        <w:rPr>
          <w:rFonts w:cs="Arial"/>
        </w:rPr>
        <w:t xml:space="preserve"> has worked </w:t>
      </w:r>
      <w:r w:rsidRPr="00DB2169">
        <w:rPr>
          <w:rFonts w:cs="Arial"/>
        </w:rPr>
        <w:t>extensively with both We</w:t>
      </w:r>
      <w:r>
        <w:rPr>
          <w:rFonts w:cs="Arial"/>
        </w:rPr>
        <w:t>stminster and local authorities, most notably with the London Development Agency</w:t>
      </w:r>
      <w:r w:rsidR="00BC3FFE">
        <w:rPr>
          <w:rFonts w:cs="Arial"/>
        </w:rPr>
        <w:t xml:space="preserve"> and London Skills Board</w:t>
      </w:r>
      <w:r>
        <w:rPr>
          <w:rFonts w:cs="Arial"/>
        </w:rPr>
        <w:t xml:space="preserve">. </w:t>
      </w:r>
      <w:r w:rsidR="00240582" w:rsidRPr="00240582">
        <w:rPr>
          <w:rFonts w:cs="Arial"/>
        </w:rPr>
        <w:t xml:space="preserve">Councillor Bob Price, Leader of </w:t>
      </w:r>
      <w:r w:rsidR="00370AE9">
        <w:rPr>
          <w:rFonts w:cs="Arial"/>
        </w:rPr>
        <w:t>Oxford City Council is</w:t>
      </w:r>
      <w:r w:rsidR="00240582" w:rsidRPr="00240582">
        <w:rPr>
          <w:rFonts w:cs="Arial"/>
        </w:rPr>
        <w:t xml:space="preserve"> the City Council’s representative</w:t>
      </w:r>
      <w:r w:rsidR="00DB2169">
        <w:rPr>
          <w:rFonts w:cs="Arial"/>
        </w:rPr>
        <w:t xml:space="preserve"> on the OxLEP Bo</w:t>
      </w:r>
      <w:r w:rsidR="002572CE">
        <w:rPr>
          <w:rFonts w:cs="Arial"/>
        </w:rPr>
        <w:t>ard</w:t>
      </w:r>
      <w:r>
        <w:rPr>
          <w:rFonts w:cs="Arial"/>
        </w:rPr>
        <w:t xml:space="preserve"> and </w:t>
      </w:r>
      <w:r w:rsidR="00240582" w:rsidRPr="00240582">
        <w:rPr>
          <w:rFonts w:cs="Arial"/>
        </w:rPr>
        <w:t xml:space="preserve">Oxfordshire Skills Board. Richard Venables, Managing Partner of VSL Ltd, </w:t>
      </w:r>
      <w:r>
        <w:rPr>
          <w:rFonts w:cs="Arial"/>
        </w:rPr>
        <w:t>is</w:t>
      </w:r>
      <w:r w:rsidR="00240582" w:rsidRPr="00240582">
        <w:rPr>
          <w:rFonts w:cs="Arial"/>
        </w:rPr>
        <w:t xml:space="preserve"> representative of the Oxford City business community, nominated by the </w:t>
      </w:r>
      <w:r w:rsidR="00370AE9">
        <w:rPr>
          <w:rFonts w:cs="Arial"/>
        </w:rPr>
        <w:t>OSP</w:t>
      </w:r>
      <w:r w:rsidR="00790BF2">
        <w:rPr>
          <w:rFonts w:cs="Arial"/>
        </w:rPr>
        <w:t xml:space="preserve">. Phil Southall, Managing Director of </w:t>
      </w:r>
      <w:r w:rsidR="00790BF2">
        <w:rPr>
          <w:rFonts w:cs="Arial"/>
        </w:rPr>
        <w:lastRenderedPageBreak/>
        <w:t>the Oxford Bus Company, and Penny Rinta-Suksi, Partner at Blake Morgan are also Oxford based members of the Board.</w:t>
      </w:r>
    </w:p>
    <w:p w:rsidR="00DB2169" w:rsidRDefault="00DB2169" w:rsidP="000A2246">
      <w:pPr>
        <w:pStyle w:val="ListParagraph"/>
        <w:ind w:left="360" w:hanging="360"/>
        <w:rPr>
          <w:rFonts w:cs="Arial"/>
        </w:rPr>
      </w:pPr>
    </w:p>
    <w:p w:rsidR="00DB2169" w:rsidRDefault="00370AE9" w:rsidP="000A2246">
      <w:pPr>
        <w:pStyle w:val="ListParagraph"/>
        <w:numPr>
          <w:ilvl w:val="0"/>
          <w:numId w:val="18"/>
        </w:numPr>
        <w:ind w:left="360"/>
        <w:rPr>
          <w:rFonts w:cs="Arial"/>
        </w:rPr>
      </w:pPr>
      <w:r>
        <w:rPr>
          <w:rFonts w:cs="Arial"/>
        </w:rPr>
        <w:t xml:space="preserve">City Council Officers meet with  LEP </w:t>
      </w:r>
      <w:r w:rsidR="00790BF2">
        <w:rPr>
          <w:rFonts w:cs="Arial"/>
        </w:rPr>
        <w:t xml:space="preserve">officers </w:t>
      </w:r>
      <w:r>
        <w:rPr>
          <w:rFonts w:cs="Arial"/>
        </w:rPr>
        <w:t xml:space="preserve">on a regular basis to ensure the partnership is representing the city’s economic interests. </w:t>
      </w:r>
      <w:r w:rsidR="00C40C00">
        <w:rPr>
          <w:rFonts w:cs="Arial"/>
        </w:rPr>
        <w:t xml:space="preserve">There is also ongoing officer involvement and engagement with the LEP </w:t>
      </w:r>
      <w:r w:rsidR="00BC3FFE">
        <w:rPr>
          <w:rFonts w:cs="Arial"/>
        </w:rPr>
        <w:t xml:space="preserve">through </w:t>
      </w:r>
      <w:r w:rsidR="00790BF2">
        <w:rPr>
          <w:rFonts w:cs="Arial"/>
        </w:rPr>
        <w:t xml:space="preserve">the </w:t>
      </w:r>
      <w:r w:rsidR="00AF1DA4">
        <w:rPr>
          <w:rFonts w:cs="Arial"/>
        </w:rPr>
        <w:t>Council’s Regeneration</w:t>
      </w:r>
      <w:r w:rsidR="00BC3FFE">
        <w:rPr>
          <w:rFonts w:cs="Arial"/>
        </w:rPr>
        <w:t>, Planning,</w:t>
      </w:r>
      <w:r w:rsidR="00C40C00">
        <w:rPr>
          <w:rFonts w:cs="Arial"/>
        </w:rPr>
        <w:t xml:space="preserve"> Environmental Sustainability</w:t>
      </w:r>
      <w:r w:rsidR="00BC3FFE">
        <w:rPr>
          <w:rFonts w:cs="Arial"/>
        </w:rPr>
        <w:t>,</w:t>
      </w:r>
      <w:r w:rsidR="00C40C00">
        <w:rPr>
          <w:rFonts w:cs="Arial"/>
        </w:rPr>
        <w:t xml:space="preserve"> and Welfare reform </w:t>
      </w:r>
      <w:r w:rsidR="00790BF2">
        <w:rPr>
          <w:rFonts w:cs="Arial"/>
        </w:rPr>
        <w:t>teams</w:t>
      </w:r>
      <w:r w:rsidR="00AF1DA4">
        <w:rPr>
          <w:rFonts w:cs="Arial"/>
        </w:rPr>
        <w:t>.</w:t>
      </w:r>
      <w:r w:rsidR="00C40C00">
        <w:rPr>
          <w:rFonts w:cs="Arial"/>
        </w:rPr>
        <w:t xml:space="preserve"> </w:t>
      </w:r>
      <w:r>
        <w:rPr>
          <w:rFonts w:cs="Arial"/>
        </w:rPr>
        <w:t>Key LEP related partnerships that have involve</w:t>
      </w:r>
      <w:r w:rsidR="00790BF2">
        <w:rPr>
          <w:rFonts w:cs="Arial"/>
        </w:rPr>
        <w:t>d</w:t>
      </w:r>
      <w:r>
        <w:rPr>
          <w:rFonts w:cs="Arial"/>
        </w:rPr>
        <w:t xml:space="preserve"> officers include:</w:t>
      </w:r>
    </w:p>
    <w:p w:rsidR="00370AE9" w:rsidRPr="00370AE9" w:rsidRDefault="00370AE9" w:rsidP="000A2246">
      <w:pPr>
        <w:pStyle w:val="ListParagraph"/>
        <w:ind w:left="360" w:hanging="360"/>
        <w:rPr>
          <w:rFonts w:cs="Arial"/>
        </w:rPr>
      </w:pPr>
    </w:p>
    <w:p w:rsidR="00370AE9" w:rsidRDefault="00790BF2" w:rsidP="000A2246">
      <w:pPr>
        <w:pStyle w:val="ListParagraph"/>
        <w:numPr>
          <w:ilvl w:val="1"/>
          <w:numId w:val="18"/>
        </w:numPr>
        <w:ind w:left="1134"/>
        <w:rPr>
          <w:rFonts w:cs="Arial"/>
        </w:rPr>
      </w:pPr>
      <w:r>
        <w:rPr>
          <w:rFonts w:cs="Arial"/>
        </w:rPr>
        <w:t xml:space="preserve">The </w:t>
      </w:r>
      <w:r w:rsidR="00370AE9">
        <w:rPr>
          <w:rFonts w:cs="Arial"/>
        </w:rPr>
        <w:t>Strategic Economic Plan Steering group</w:t>
      </w:r>
    </w:p>
    <w:p w:rsidR="00370AE9" w:rsidRDefault="00370AE9" w:rsidP="000A2246">
      <w:pPr>
        <w:pStyle w:val="ListParagraph"/>
        <w:numPr>
          <w:ilvl w:val="1"/>
          <w:numId w:val="18"/>
        </w:numPr>
        <w:ind w:left="1134"/>
        <w:rPr>
          <w:rFonts w:cs="Arial"/>
        </w:rPr>
      </w:pPr>
      <w:r>
        <w:rPr>
          <w:rFonts w:cs="Arial"/>
        </w:rPr>
        <w:t>Local Growth Funds Steering Group</w:t>
      </w:r>
    </w:p>
    <w:p w:rsidR="00BC3FFE" w:rsidRDefault="00BC3FFE" w:rsidP="000A2246">
      <w:pPr>
        <w:pStyle w:val="ListParagraph"/>
        <w:numPr>
          <w:ilvl w:val="1"/>
          <w:numId w:val="18"/>
        </w:numPr>
        <w:ind w:left="1134"/>
        <w:rPr>
          <w:rFonts w:cs="Arial"/>
        </w:rPr>
      </w:pPr>
      <w:r>
        <w:rPr>
          <w:rFonts w:cs="Arial"/>
        </w:rPr>
        <w:t>Oxfordshire Skills Board</w:t>
      </w:r>
    </w:p>
    <w:p w:rsidR="00BC3FFE" w:rsidRDefault="00BC3FFE" w:rsidP="000A2246">
      <w:pPr>
        <w:pStyle w:val="ListParagraph"/>
        <w:numPr>
          <w:ilvl w:val="1"/>
          <w:numId w:val="18"/>
        </w:numPr>
        <w:ind w:left="1134"/>
        <w:rPr>
          <w:rFonts w:cs="Arial"/>
        </w:rPr>
      </w:pPr>
      <w:r>
        <w:rPr>
          <w:rFonts w:cs="Arial"/>
        </w:rPr>
        <w:t>Oxfordshire European Structural Investment Funds Committee</w:t>
      </w:r>
    </w:p>
    <w:p w:rsidR="00AF1DA4" w:rsidRDefault="00370AE9" w:rsidP="000A2246">
      <w:pPr>
        <w:pStyle w:val="ListParagraph"/>
        <w:numPr>
          <w:ilvl w:val="1"/>
          <w:numId w:val="18"/>
        </w:numPr>
        <w:ind w:left="1134"/>
        <w:rPr>
          <w:rFonts w:cs="Arial"/>
        </w:rPr>
      </w:pPr>
      <w:r>
        <w:rPr>
          <w:rFonts w:cs="Arial"/>
        </w:rPr>
        <w:t>Joint Oxfordshire Busine</w:t>
      </w:r>
      <w:r w:rsidR="00790BF2">
        <w:rPr>
          <w:rFonts w:cs="Arial"/>
        </w:rPr>
        <w:t xml:space="preserve">ss Support group </w:t>
      </w:r>
    </w:p>
    <w:p w:rsidR="00370AE9" w:rsidRPr="00AF1DA4" w:rsidRDefault="00AF1DA4" w:rsidP="000A2246">
      <w:pPr>
        <w:pStyle w:val="ListParagraph"/>
        <w:numPr>
          <w:ilvl w:val="1"/>
          <w:numId w:val="18"/>
        </w:numPr>
        <w:ind w:left="1134"/>
        <w:rPr>
          <w:rFonts w:cs="Arial"/>
        </w:rPr>
      </w:pPr>
      <w:r>
        <w:rPr>
          <w:rFonts w:cs="Arial"/>
        </w:rPr>
        <w:t>T</w:t>
      </w:r>
      <w:r w:rsidR="00790BF2" w:rsidRPr="00AF1DA4">
        <w:rPr>
          <w:rFonts w:cs="Arial"/>
        </w:rPr>
        <w:t>he LEP Chief Executive also attends the City Council Economic Growth Steering Group</w:t>
      </w:r>
      <w:r w:rsidRPr="00AF1DA4">
        <w:rPr>
          <w:rFonts w:cs="Arial"/>
        </w:rPr>
        <w:t>.</w:t>
      </w:r>
    </w:p>
    <w:p w:rsidR="00BC3FFE" w:rsidRDefault="00BC3FFE" w:rsidP="000A2246">
      <w:pPr>
        <w:pStyle w:val="ListParagraph"/>
        <w:ind w:left="360" w:hanging="360"/>
        <w:rPr>
          <w:rFonts w:cs="Arial"/>
        </w:rPr>
      </w:pPr>
    </w:p>
    <w:p w:rsidR="00BC3FFE" w:rsidRPr="000A2246" w:rsidRDefault="00BC3FFE" w:rsidP="000A2246">
      <w:pPr>
        <w:pStyle w:val="ListParagraph"/>
        <w:numPr>
          <w:ilvl w:val="0"/>
          <w:numId w:val="18"/>
        </w:numPr>
        <w:ind w:left="360"/>
        <w:rPr>
          <w:rFonts w:cs="Arial"/>
          <w:b/>
        </w:rPr>
      </w:pPr>
      <w:r w:rsidRPr="00C40C00">
        <w:rPr>
          <w:rFonts w:cs="Arial"/>
          <w:b/>
        </w:rPr>
        <w:t>Strategic Economic Plan</w:t>
      </w:r>
      <w:r>
        <w:rPr>
          <w:rFonts w:cs="Arial"/>
          <w:b/>
        </w:rPr>
        <w:t xml:space="preserve"> (SEP)</w:t>
      </w:r>
      <w:r w:rsidRPr="00C40C00">
        <w:rPr>
          <w:rFonts w:cs="Arial"/>
          <w:b/>
        </w:rPr>
        <w:t>:</w:t>
      </w:r>
      <w:r w:rsidRPr="00AA59ED">
        <w:rPr>
          <w:rFonts w:cs="Arial"/>
        </w:rPr>
        <w:t xml:space="preserve"> Officers have been closely</w:t>
      </w:r>
      <w:r>
        <w:rPr>
          <w:rFonts w:cs="Arial"/>
        </w:rPr>
        <w:t xml:space="preserve"> involved in shaping this plan</w:t>
      </w:r>
      <w:r w:rsidRPr="00AA59ED">
        <w:rPr>
          <w:rFonts w:cs="Arial"/>
        </w:rPr>
        <w:t xml:space="preserve">, </w:t>
      </w:r>
      <w:r w:rsidR="00790BF2">
        <w:rPr>
          <w:rFonts w:cs="Arial"/>
        </w:rPr>
        <w:t>which was also reviewed by</w:t>
      </w:r>
      <w:r w:rsidRPr="00AA59ED">
        <w:rPr>
          <w:rFonts w:cs="Arial"/>
        </w:rPr>
        <w:t xml:space="preserve"> Scrutiny, </w:t>
      </w:r>
      <w:r w:rsidR="00790BF2">
        <w:rPr>
          <w:rFonts w:cs="Arial"/>
        </w:rPr>
        <w:t xml:space="preserve">and discussed at </w:t>
      </w:r>
      <w:r w:rsidRPr="00AA59ED">
        <w:rPr>
          <w:rFonts w:cs="Arial"/>
        </w:rPr>
        <w:t>CEB and Council</w:t>
      </w:r>
      <w:r w:rsidR="00790BF2">
        <w:rPr>
          <w:rFonts w:cs="Arial"/>
        </w:rPr>
        <w:t>.</w:t>
      </w:r>
      <w:r w:rsidRPr="00AA59ED">
        <w:rPr>
          <w:rFonts w:cs="Arial"/>
        </w:rPr>
        <w:t xml:space="preserve"> The Vision </w:t>
      </w:r>
      <w:r w:rsidR="00790BF2">
        <w:rPr>
          <w:rFonts w:cs="Arial"/>
        </w:rPr>
        <w:t xml:space="preserve">for the county’s economy that is set out in the SEP </w:t>
      </w:r>
      <w:r w:rsidRPr="00AA59ED">
        <w:rPr>
          <w:rFonts w:cs="Arial"/>
        </w:rPr>
        <w:t>is that ‘</w:t>
      </w:r>
      <w:r w:rsidRPr="00AA59ED">
        <w:rPr>
          <w:rFonts w:cs="Arial"/>
          <w:bCs/>
          <w:iCs/>
        </w:rPr>
        <w:t>By 2030, Oxfordshire will be recognised as a vibrant, sustainable, inclusive, world leading economy, driven by innovation, enterprise and research excellence.’ It focusses on the key themes of research, innovation and business growth by delivering and influencing across four programme areas, connectivity, enterprise, people and place.</w:t>
      </w:r>
    </w:p>
    <w:p w:rsidR="00240582" w:rsidRPr="00240582" w:rsidRDefault="00240582" w:rsidP="000A2246">
      <w:pPr>
        <w:pStyle w:val="ListParagraph"/>
        <w:ind w:left="360" w:hanging="360"/>
        <w:rPr>
          <w:rFonts w:cs="Arial"/>
        </w:rPr>
      </w:pPr>
    </w:p>
    <w:p w:rsidR="00EF67AA" w:rsidRPr="00C40C00" w:rsidRDefault="00370AE9" w:rsidP="000A2246">
      <w:pPr>
        <w:pStyle w:val="ListParagraph"/>
        <w:numPr>
          <w:ilvl w:val="0"/>
          <w:numId w:val="18"/>
        </w:numPr>
        <w:ind w:left="360"/>
        <w:rPr>
          <w:rFonts w:cs="Arial"/>
          <w:b/>
        </w:rPr>
      </w:pPr>
      <w:r w:rsidRPr="00C40C00">
        <w:rPr>
          <w:rFonts w:cs="Arial"/>
          <w:b/>
        </w:rPr>
        <w:t xml:space="preserve">Areas of </w:t>
      </w:r>
      <w:r w:rsidR="00A61F98">
        <w:rPr>
          <w:rFonts w:cs="Arial"/>
          <w:b/>
        </w:rPr>
        <w:t>j</w:t>
      </w:r>
      <w:r w:rsidRPr="00C40C00">
        <w:rPr>
          <w:rFonts w:cs="Arial"/>
          <w:b/>
        </w:rPr>
        <w:t>oint working</w:t>
      </w:r>
    </w:p>
    <w:p w:rsidR="00213E56" w:rsidRDefault="00370AE9" w:rsidP="0072426F">
      <w:pPr>
        <w:pStyle w:val="ListParagraph"/>
        <w:numPr>
          <w:ilvl w:val="0"/>
          <w:numId w:val="24"/>
        </w:numPr>
        <w:spacing w:after="0"/>
        <w:ind w:left="1134"/>
        <w:contextualSpacing w:val="0"/>
      </w:pPr>
      <w:r>
        <w:t>Coordination of</w:t>
      </w:r>
      <w:r w:rsidR="00B323DE">
        <w:t xml:space="preserve"> the</w:t>
      </w:r>
      <w:r w:rsidR="00CF150C">
        <w:t xml:space="preserve"> </w:t>
      </w:r>
      <w:r w:rsidR="00213E56">
        <w:t>Oxfordshire Devolution submission</w:t>
      </w:r>
    </w:p>
    <w:p w:rsidR="00CF150C" w:rsidRDefault="00AF1DA4" w:rsidP="0072426F">
      <w:pPr>
        <w:pStyle w:val="ListParagraph"/>
        <w:numPr>
          <w:ilvl w:val="0"/>
          <w:numId w:val="24"/>
        </w:numPr>
        <w:spacing w:after="0"/>
        <w:ind w:left="1134"/>
        <w:contextualSpacing w:val="0"/>
      </w:pPr>
      <w:r>
        <w:t xml:space="preserve">Influencing Government on a range of strategic issues in conjunction with the City Council, e.g. the National Infrastructure Commission’s work on the Oxford to Cambridge Growth Corridor and the emerging National Industrial Strategy </w:t>
      </w:r>
    </w:p>
    <w:p w:rsidR="00CF150C" w:rsidRDefault="00213E56" w:rsidP="0072426F">
      <w:pPr>
        <w:pStyle w:val="ListParagraph"/>
        <w:numPr>
          <w:ilvl w:val="0"/>
          <w:numId w:val="24"/>
        </w:numPr>
        <w:spacing w:after="0"/>
        <w:ind w:left="1134"/>
        <w:contextualSpacing w:val="0"/>
      </w:pPr>
      <w:r>
        <w:t>S</w:t>
      </w:r>
      <w:r w:rsidR="00CF150C">
        <w:t>ecuring and allocating Growth Deal and European Structural Investment Funds</w:t>
      </w:r>
    </w:p>
    <w:p w:rsidR="00CF150C" w:rsidRDefault="00213E56" w:rsidP="0072426F">
      <w:pPr>
        <w:pStyle w:val="ListParagraph"/>
        <w:numPr>
          <w:ilvl w:val="0"/>
          <w:numId w:val="24"/>
        </w:numPr>
        <w:spacing w:after="0"/>
        <w:ind w:left="1134"/>
        <w:contextualSpacing w:val="0"/>
      </w:pPr>
      <w:r>
        <w:t>Collaborating on the provision and resourcing of business support that meets local business needs</w:t>
      </w:r>
      <w:r w:rsidR="00CF150C">
        <w:t>.</w:t>
      </w:r>
    </w:p>
    <w:p w:rsidR="00A236D8" w:rsidRDefault="00B323DE" w:rsidP="0072426F">
      <w:pPr>
        <w:pStyle w:val="ListParagraph"/>
        <w:numPr>
          <w:ilvl w:val="0"/>
          <w:numId w:val="24"/>
        </w:numPr>
        <w:spacing w:after="0"/>
        <w:ind w:left="1134"/>
        <w:contextualSpacing w:val="0"/>
      </w:pPr>
      <w:r>
        <w:t>C</w:t>
      </w:r>
      <w:r w:rsidR="00213E56">
        <w:t>olla</w:t>
      </w:r>
      <w:r w:rsidR="002E7FAF">
        <w:t>borating on foreign direct and inward investment attraction, and trade promotion activity</w:t>
      </w:r>
      <w:r w:rsidR="00213E56">
        <w:t xml:space="preserve"> with Invest in Oxfordshire (part of the LEP)</w:t>
      </w:r>
    </w:p>
    <w:p w:rsidR="00213E56" w:rsidRDefault="00213E56" w:rsidP="0072426F">
      <w:pPr>
        <w:pStyle w:val="ListParagraph"/>
        <w:numPr>
          <w:ilvl w:val="0"/>
          <w:numId w:val="24"/>
        </w:numPr>
        <w:spacing w:after="0"/>
        <w:ind w:left="1134"/>
        <w:contextualSpacing w:val="0"/>
      </w:pPr>
      <w:r>
        <w:t>Working on a shared approach to business engagement</w:t>
      </w:r>
      <w:r w:rsidR="00BC3FFE">
        <w:t>, to retain and create jobs,</w:t>
      </w:r>
      <w:r>
        <w:t xml:space="preserve"> including a programme of employer meetings and a range of business forum events</w:t>
      </w:r>
    </w:p>
    <w:p w:rsidR="00213E56" w:rsidRDefault="00213E56" w:rsidP="0072426F">
      <w:pPr>
        <w:pStyle w:val="ListParagraph"/>
        <w:numPr>
          <w:ilvl w:val="0"/>
          <w:numId w:val="24"/>
        </w:numPr>
        <w:spacing w:after="0"/>
        <w:ind w:left="1134"/>
        <w:contextualSpacing w:val="0"/>
      </w:pPr>
      <w:r>
        <w:t xml:space="preserve">Skills Strategy </w:t>
      </w:r>
      <w:r w:rsidR="00BC3FFE">
        <w:t>development</w:t>
      </w:r>
      <w:r>
        <w:t xml:space="preserve"> and partnership </w:t>
      </w:r>
      <w:r w:rsidR="00BC3FFE">
        <w:t xml:space="preserve">working to deliver </w:t>
      </w:r>
      <w:r>
        <w:t>Community Employment Plans</w:t>
      </w:r>
      <w:r w:rsidR="00BC3FFE">
        <w:t xml:space="preserve"> related to major local investments</w:t>
      </w:r>
    </w:p>
    <w:p w:rsidR="00B323DE" w:rsidRPr="00B323DE" w:rsidRDefault="00213E56" w:rsidP="0072426F">
      <w:pPr>
        <w:pStyle w:val="ListParagraph"/>
        <w:numPr>
          <w:ilvl w:val="0"/>
          <w:numId w:val="24"/>
        </w:numPr>
        <w:spacing w:after="0"/>
        <w:ind w:left="1134"/>
        <w:contextualSpacing w:val="0"/>
      </w:pPr>
      <w:r>
        <w:t>Conducting research where required, including an ongoing review of availability and demand for innovation and</w:t>
      </w:r>
      <w:r w:rsidR="00A61F98">
        <w:t xml:space="preserve"> incubation spaces for business</w:t>
      </w:r>
    </w:p>
    <w:p w:rsidR="00A61F98" w:rsidRDefault="00A61F98" w:rsidP="0072426F">
      <w:pPr>
        <w:pStyle w:val="ListParagraph"/>
        <w:numPr>
          <w:ilvl w:val="0"/>
          <w:numId w:val="24"/>
        </w:numPr>
        <w:spacing w:after="0"/>
        <w:ind w:left="1134"/>
        <w:contextualSpacing w:val="0"/>
      </w:pPr>
      <w:r>
        <w:t>Refreshing the Strategic Economic Plan</w:t>
      </w:r>
      <w:r w:rsidR="00862036">
        <w:t xml:space="preserve"> (due for publication shortly) and its various sub-strategies</w:t>
      </w:r>
      <w:r>
        <w:t>.</w:t>
      </w:r>
    </w:p>
    <w:p w:rsidR="00B71E82" w:rsidRDefault="00B71E82" w:rsidP="000A2246">
      <w:pPr>
        <w:pStyle w:val="ListParagraph"/>
        <w:ind w:left="360" w:hanging="360"/>
        <w:rPr>
          <w:rFonts w:cs="Arial"/>
        </w:rPr>
      </w:pPr>
    </w:p>
    <w:p w:rsidR="00B71E82" w:rsidRPr="000A2246" w:rsidRDefault="00B71E82" w:rsidP="000A2246">
      <w:pPr>
        <w:pStyle w:val="ListParagraph"/>
        <w:numPr>
          <w:ilvl w:val="0"/>
          <w:numId w:val="18"/>
        </w:numPr>
        <w:ind w:left="360"/>
        <w:rPr>
          <w:rFonts w:eastAsiaTheme="minorHAnsi" w:cs="Arial"/>
          <w:b/>
        </w:rPr>
      </w:pPr>
      <w:r w:rsidRPr="00C40C00">
        <w:rPr>
          <w:rFonts w:eastAsiaTheme="minorHAnsi" w:cs="Arial"/>
          <w:b/>
        </w:rPr>
        <w:t>Funding</w:t>
      </w:r>
      <w:r w:rsidR="00C40C00">
        <w:rPr>
          <w:rFonts w:eastAsiaTheme="minorHAnsi" w:cs="Arial"/>
          <w:b/>
        </w:rPr>
        <w:t xml:space="preserve">: </w:t>
      </w:r>
      <w:r w:rsidR="00A236D8">
        <w:rPr>
          <w:rFonts w:eastAsiaTheme="minorHAnsi" w:cs="Arial"/>
        </w:rPr>
        <w:t>A key role of the LEP is</w:t>
      </w:r>
      <w:r>
        <w:rPr>
          <w:rFonts w:eastAsiaTheme="minorHAnsi" w:cs="Arial"/>
        </w:rPr>
        <w:t xml:space="preserve"> securing</w:t>
      </w:r>
      <w:r w:rsidR="00A236D8">
        <w:rPr>
          <w:rFonts w:eastAsiaTheme="minorHAnsi" w:cs="Arial"/>
        </w:rPr>
        <w:t xml:space="preserve"> and distributing</w:t>
      </w:r>
      <w:r>
        <w:rPr>
          <w:rFonts w:eastAsiaTheme="minorHAnsi" w:cs="Arial"/>
        </w:rPr>
        <w:t xml:space="preserve"> resources</w:t>
      </w:r>
      <w:r w:rsidR="00A3356D">
        <w:rPr>
          <w:rFonts w:eastAsiaTheme="minorHAnsi" w:cs="Arial"/>
        </w:rPr>
        <w:t xml:space="preserve"> for delivery of the SEP</w:t>
      </w:r>
      <w:r>
        <w:rPr>
          <w:rFonts w:eastAsiaTheme="minorHAnsi" w:cs="Arial"/>
        </w:rPr>
        <w:t xml:space="preserve"> through a variety of means</w:t>
      </w:r>
      <w:r w:rsidR="001C6352">
        <w:rPr>
          <w:rFonts w:eastAsiaTheme="minorHAnsi" w:cs="Arial"/>
        </w:rPr>
        <w:t>:</w:t>
      </w:r>
    </w:p>
    <w:p w:rsidR="00B71E82" w:rsidRDefault="00B71E82" w:rsidP="000A2246">
      <w:pPr>
        <w:pStyle w:val="ListParagraph"/>
        <w:numPr>
          <w:ilvl w:val="1"/>
          <w:numId w:val="18"/>
        </w:numPr>
        <w:ind w:left="360"/>
        <w:rPr>
          <w:rFonts w:eastAsiaTheme="minorHAnsi" w:cs="Arial"/>
        </w:rPr>
      </w:pPr>
      <w:r w:rsidRPr="000639F9">
        <w:rPr>
          <w:rFonts w:eastAsiaTheme="minorHAnsi" w:cs="Arial"/>
        </w:rPr>
        <w:t xml:space="preserve">In 2014 Oxfordshire was awarded £55.5m through the City Deal, </w:t>
      </w:r>
      <w:r>
        <w:rPr>
          <w:rFonts w:eastAsiaTheme="minorHAnsi" w:cs="Arial"/>
        </w:rPr>
        <w:t xml:space="preserve">this </w:t>
      </w:r>
      <w:r w:rsidRPr="000639F9">
        <w:rPr>
          <w:rFonts w:eastAsiaTheme="minorHAnsi" w:cs="Arial"/>
        </w:rPr>
        <w:t xml:space="preserve">programme that is now </w:t>
      </w:r>
      <w:r w:rsidR="00AA59ED">
        <w:rPr>
          <w:rFonts w:eastAsiaTheme="minorHAnsi" w:cs="Arial"/>
        </w:rPr>
        <w:t>well established</w:t>
      </w:r>
      <w:r>
        <w:rPr>
          <w:rFonts w:eastAsiaTheme="minorHAnsi" w:cs="Arial"/>
        </w:rPr>
        <w:t xml:space="preserve"> across Apprenticeships, business support, infrastructure and innovation centres</w:t>
      </w:r>
      <w:r w:rsidR="00F83D92">
        <w:rPr>
          <w:rFonts w:eastAsiaTheme="minorHAnsi" w:cs="Arial"/>
        </w:rPr>
        <w:t>, focu</w:t>
      </w:r>
      <w:r w:rsidRPr="000639F9">
        <w:rPr>
          <w:rFonts w:eastAsiaTheme="minorHAnsi" w:cs="Arial"/>
        </w:rPr>
        <w:t xml:space="preserve">sing on the Oxfordshire ‘Knowledge Spine’ of Bicester – </w:t>
      </w:r>
      <w:r w:rsidRPr="000639F9">
        <w:rPr>
          <w:rFonts w:eastAsiaTheme="minorHAnsi" w:cs="Arial"/>
        </w:rPr>
        <w:lastRenderedPageBreak/>
        <w:t xml:space="preserve">Oxford – Science Vale. </w:t>
      </w:r>
      <w:r w:rsidR="00C40C00">
        <w:rPr>
          <w:rFonts w:eastAsiaTheme="minorHAnsi" w:cs="Arial"/>
        </w:rPr>
        <w:t xml:space="preserve">Much of the City Deal work will complete between March 2017 and 2018. </w:t>
      </w:r>
      <w:r w:rsidR="00A61F98">
        <w:rPr>
          <w:rFonts w:eastAsiaTheme="minorHAnsi" w:cs="Arial"/>
        </w:rPr>
        <w:t>E</w:t>
      </w:r>
      <w:r w:rsidR="00C40C00">
        <w:rPr>
          <w:rFonts w:eastAsiaTheme="minorHAnsi" w:cs="Arial"/>
        </w:rPr>
        <w:t>nhanced</w:t>
      </w:r>
      <w:r w:rsidR="00A61F98">
        <w:rPr>
          <w:rFonts w:eastAsiaTheme="minorHAnsi" w:cs="Arial"/>
        </w:rPr>
        <w:t xml:space="preserve"> funding for</w:t>
      </w:r>
      <w:r w:rsidR="00C40C00">
        <w:rPr>
          <w:rFonts w:eastAsiaTheme="minorHAnsi" w:cs="Arial"/>
        </w:rPr>
        <w:t xml:space="preserve"> apprenticeships</w:t>
      </w:r>
      <w:r w:rsidR="00A61F98">
        <w:rPr>
          <w:rFonts w:eastAsiaTheme="minorHAnsi" w:cs="Arial"/>
        </w:rPr>
        <w:t xml:space="preserve"> ceases in 2017</w:t>
      </w:r>
      <w:r w:rsidR="00C130F5">
        <w:rPr>
          <w:rFonts w:eastAsiaTheme="minorHAnsi" w:cs="Arial"/>
        </w:rPr>
        <w:t>.</w:t>
      </w:r>
    </w:p>
    <w:p w:rsidR="00B71E82" w:rsidRPr="001C6352" w:rsidRDefault="00B71E82" w:rsidP="000A2246">
      <w:pPr>
        <w:pStyle w:val="ListParagraph"/>
        <w:numPr>
          <w:ilvl w:val="1"/>
          <w:numId w:val="18"/>
        </w:numPr>
        <w:ind w:left="360"/>
        <w:rPr>
          <w:rFonts w:eastAsiaTheme="minorHAnsi" w:cs="Arial"/>
        </w:rPr>
      </w:pPr>
      <w:r w:rsidRPr="00270A2D">
        <w:rPr>
          <w:rFonts w:eastAsiaTheme="minorHAnsi" w:cs="Arial"/>
        </w:rPr>
        <w:t xml:space="preserve">OxLEP is also </w:t>
      </w:r>
      <w:r w:rsidR="00F12847">
        <w:rPr>
          <w:rFonts w:eastAsiaTheme="minorHAnsi" w:cs="Arial"/>
        </w:rPr>
        <w:t>still</w:t>
      </w:r>
      <w:r w:rsidRPr="00270A2D">
        <w:rPr>
          <w:rFonts w:eastAsiaTheme="minorHAnsi" w:cs="Arial"/>
        </w:rPr>
        <w:t xml:space="preserve"> delivering a </w:t>
      </w:r>
      <w:r w:rsidR="001C6352" w:rsidRPr="001C6352">
        <w:rPr>
          <w:rFonts w:eastAsiaTheme="minorHAnsi" w:cs="Arial"/>
        </w:rPr>
        <w:t>€</w:t>
      </w:r>
      <w:r w:rsidRPr="001C6352">
        <w:rPr>
          <w:rFonts w:eastAsiaTheme="minorHAnsi" w:cs="Arial"/>
        </w:rPr>
        <w:t xml:space="preserve">19.3m Implementation Plan that sets out the process for the delivery of the priorities it articulated in the </w:t>
      </w:r>
      <w:hyperlink r:id="rId10" w:history="1">
        <w:r w:rsidRPr="001C6352">
          <w:rPr>
            <w:rFonts w:eastAsiaTheme="minorHAnsi" w:cs="Arial"/>
            <w:color w:val="0000FF" w:themeColor="hyperlink"/>
            <w:u w:val="single"/>
          </w:rPr>
          <w:t>Oxfordshire European Structural Investment Fund</w:t>
        </w:r>
        <w:r w:rsidR="001C6352">
          <w:rPr>
            <w:rFonts w:eastAsiaTheme="minorHAnsi" w:cs="Arial"/>
            <w:color w:val="0000FF" w:themeColor="hyperlink"/>
            <w:u w:val="single"/>
          </w:rPr>
          <w:t xml:space="preserve"> (ESIF)</w:t>
        </w:r>
        <w:r w:rsidRPr="001C6352">
          <w:rPr>
            <w:rFonts w:eastAsiaTheme="minorHAnsi" w:cs="Arial"/>
            <w:color w:val="0000FF" w:themeColor="hyperlink"/>
            <w:u w:val="single"/>
          </w:rPr>
          <w:t xml:space="preserve"> Strategy</w:t>
        </w:r>
      </w:hyperlink>
      <w:r w:rsidRPr="001C6352">
        <w:rPr>
          <w:rFonts w:eastAsiaTheme="minorHAnsi" w:cs="Arial"/>
        </w:rPr>
        <w:t xml:space="preserve">. This particular programme </w:t>
      </w:r>
      <w:r w:rsidR="00A3356D" w:rsidRPr="001C6352">
        <w:rPr>
          <w:rFonts w:eastAsiaTheme="minorHAnsi" w:cs="Arial"/>
        </w:rPr>
        <w:t>is</w:t>
      </w:r>
      <w:r w:rsidRPr="001C6352">
        <w:rPr>
          <w:rFonts w:eastAsiaTheme="minorHAnsi" w:cs="Arial"/>
        </w:rPr>
        <w:t xml:space="preserve"> ov</w:t>
      </w:r>
      <w:r w:rsidR="00A61F98">
        <w:rPr>
          <w:rFonts w:eastAsiaTheme="minorHAnsi" w:cs="Arial"/>
        </w:rPr>
        <w:t xml:space="preserve">erseen by the Oxfordshire ESIF </w:t>
      </w:r>
      <w:r w:rsidRPr="001C6352">
        <w:rPr>
          <w:rFonts w:eastAsiaTheme="minorHAnsi" w:cs="Arial"/>
        </w:rPr>
        <w:t xml:space="preserve">Committee. </w:t>
      </w:r>
    </w:p>
    <w:p w:rsidR="00B71E82" w:rsidRDefault="00B71E82" w:rsidP="000A2246">
      <w:pPr>
        <w:pStyle w:val="ListParagraph"/>
        <w:numPr>
          <w:ilvl w:val="1"/>
          <w:numId w:val="18"/>
        </w:numPr>
        <w:ind w:left="360"/>
        <w:rPr>
          <w:rFonts w:eastAsiaTheme="minorHAnsi" w:cs="Arial"/>
        </w:rPr>
      </w:pPr>
      <w:r w:rsidRPr="00270A2D">
        <w:rPr>
          <w:rFonts w:eastAsiaTheme="minorHAnsi" w:cs="Arial"/>
        </w:rPr>
        <w:t xml:space="preserve">Furthermore, OxLEP, through </w:t>
      </w:r>
      <w:r w:rsidR="006D4061">
        <w:rPr>
          <w:rFonts w:eastAsiaTheme="minorHAnsi" w:cs="Arial"/>
        </w:rPr>
        <w:t>the current</w:t>
      </w:r>
      <w:r w:rsidRPr="00270A2D">
        <w:rPr>
          <w:rFonts w:eastAsiaTheme="minorHAnsi" w:cs="Arial"/>
        </w:rPr>
        <w:t xml:space="preserve"> </w:t>
      </w:r>
      <w:hyperlink r:id="rId11" w:history="1">
        <w:r w:rsidRPr="00270A2D">
          <w:rPr>
            <w:rFonts w:eastAsiaTheme="minorHAnsi" w:cs="Arial"/>
            <w:color w:val="0000FF" w:themeColor="hyperlink"/>
            <w:u w:val="single"/>
          </w:rPr>
          <w:t>Strategic Economic Plan</w:t>
        </w:r>
      </w:hyperlink>
      <w:r w:rsidRPr="00270A2D">
        <w:rPr>
          <w:rFonts w:eastAsiaTheme="minorHAnsi" w:cs="Arial"/>
        </w:rPr>
        <w:t xml:space="preserve">, negotiated a £208.5 million </w:t>
      </w:r>
      <w:hyperlink r:id="rId12" w:history="1">
        <w:r w:rsidRPr="00270A2D">
          <w:rPr>
            <w:rFonts w:eastAsiaTheme="minorHAnsi" w:cs="Arial"/>
            <w:color w:val="0000FF" w:themeColor="hyperlink"/>
            <w:u w:val="single"/>
          </w:rPr>
          <w:t>Oxfordshire Growth Deal package</w:t>
        </w:r>
      </w:hyperlink>
      <w:r w:rsidRPr="00270A2D">
        <w:rPr>
          <w:rFonts w:eastAsiaTheme="minorHAnsi" w:cs="Arial"/>
        </w:rPr>
        <w:t xml:space="preserve"> for a range of transport/connectivity, business support and other projects to be delivered </w:t>
      </w:r>
      <w:r w:rsidR="00A61F98">
        <w:rPr>
          <w:rFonts w:eastAsiaTheme="minorHAnsi" w:cs="Arial"/>
        </w:rPr>
        <w:t>in the period to 2019</w:t>
      </w:r>
      <w:r w:rsidRPr="00270A2D">
        <w:rPr>
          <w:rFonts w:eastAsiaTheme="minorHAnsi" w:cs="Arial"/>
        </w:rPr>
        <w:t>.</w:t>
      </w:r>
    </w:p>
    <w:p w:rsidR="00B71E82" w:rsidRDefault="00B71E82" w:rsidP="000A2246">
      <w:pPr>
        <w:pStyle w:val="ListParagraph"/>
        <w:numPr>
          <w:ilvl w:val="1"/>
          <w:numId w:val="18"/>
        </w:numPr>
        <w:ind w:left="360"/>
        <w:rPr>
          <w:rFonts w:eastAsiaTheme="minorHAnsi" w:cs="Arial"/>
        </w:rPr>
      </w:pPr>
      <w:r>
        <w:rPr>
          <w:rFonts w:eastAsiaTheme="minorHAnsi" w:cs="Arial"/>
        </w:rPr>
        <w:t>Local Growth Fund 3 bids have been prepared to ensure a pipeline of investment ready strategic</w:t>
      </w:r>
      <w:r w:rsidR="00A61F98">
        <w:rPr>
          <w:rFonts w:eastAsiaTheme="minorHAnsi" w:cs="Arial"/>
        </w:rPr>
        <w:t xml:space="preserve"> economic</w:t>
      </w:r>
      <w:r>
        <w:rPr>
          <w:rFonts w:eastAsiaTheme="minorHAnsi" w:cs="Arial"/>
        </w:rPr>
        <w:t xml:space="preserve"> projects is in place.</w:t>
      </w:r>
      <w:r w:rsidR="00A61F98">
        <w:rPr>
          <w:rFonts w:eastAsiaTheme="minorHAnsi" w:cs="Arial"/>
        </w:rPr>
        <w:t xml:space="preserve"> Oxford has several</w:t>
      </w:r>
      <w:r w:rsidR="00AA59ED">
        <w:rPr>
          <w:rFonts w:eastAsiaTheme="minorHAnsi" w:cs="Arial"/>
        </w:rPr>
        <w:t xml:space="preserve"> projects including the Station and</w:t>
      </w:r>
      <w:r w:rsidR="00F83D92">
        <w:rPr>
          <w:rFonts w:eastAsiaTheme="minorHAnsi" w:cs="Arial"/>
        </w:rPr>
        <w:t xml:space="preserve"> Osney Mead Knowledge Park</w:t>
      </w:r>
      <w:r w:rsidR="00A61F98">
        <w:rPr>
          <w:rFonts w:eastAsiaTheme="minorHAnsi" w:cs="Arial"/>
        </w:rPr>
        <w:t xml:space="preserve"> that have competitive funding submissions</w:t>
      </w:r>
      <w:r w:rsidR="00AA59ED">
        <w:rPr>
          <w:rFonts w:eastAsiaTheme="minorHAnsi" w:cs="Arial"/>
        </w:rPr>
        <w:t xml:space="preserve">. </w:t>
      </w:r>
      <w:r w:rsidR="00F12847">
        <w:rPr>
          <w:rFonts w:eastAsiaTheme="minorHAnsi" w:cs="Arial"/>
        </w:rPr>
        <w:t>At the time of writing</w:t>
      </w:r>
      <w:r w:rsidR="00AA59ED">
        <w:rPr>
          <w:rFonts w:eastAsiaTheme="minorHAnsi" w:cs="Arial"/>
        </w:rPr>
        <w:t>,</w:t>
      </w:r>
      <w:r w:rsidR="00F12847">
        <w:rPr>
          <w:rFonts w:eastAsiaTheme="minorHAnsi" w:cs="Arial"/>
        </w:rPr>
        <w:t xml:space="preserve"> officers were </w:t>
      </w:r>
      <w:r w:rsidR="00AC7CF3">
        <w:rPr>
          <w:rFonts w:eastAsiaTheme="minorHAnsi" w:cs="Arial"/>
        </w:rPr>
        <w:t>seeking</w:t>
      </w:r>
      <w:r w:rsidR="00F12847">
        <w:rPr>
          <w:rFonts w:eastAsiaTheme="minorHAnsi" w:cs="Arial"/>
        </w:rPr>
        <w:t xml:space="preserve"> an indication of the likely allocation from Government. </w:t>
      </w:r>
    </w:p>
    <w:p w:rsidR="00F12847" w:rsidRDefault="00F12847" w:rsidP="000A2246">
      <w:pPr>
        <w:pStyle w:val="ListParagraph"/>
        <w:numPr>
          <w:ilvl w:val="1"/>
          <w:numId w:val="18"/>
        </w:numPr>
        <w:ind w:left="360"/>
        <w:rPr>
          <w:rFonts w:eastAsiaTheme="minorHAnsi" w:cs="Arial"/>
        </w:rPr>
      </w:pPr>
      <w:r>
        <w:rPr>
          <w:rFonts w:eastAsiaTheme="minorHAnsi" w:cs="Arial"/>
        </w:rPr>
        <w:t xml:space="preserve">The primary capital funding </w:t>
      </w:r>
      <w:r w:rsidR="00A61F98">
        <w:rPr>
          <w:rFonts w:eastAsiaTheme="minorHAnsi" w:cs="Arial"/>
        </w:rPr>
        <w:t xml:space="preserve">that </w:t>
      </w:r>
      <w:r>
        <w:rPr>
          <w:rFonts w:eastAsiaTheme="minorHAnsi" w:cs="Arial"/>
        </w:rPr>
        <w:t xml:space="preserve">has come forward since the </w:t>
      </w:r>
      <w:r w:rsidR="00A61F98">
        <w:rPr>
          <w:rFonts w:eastAsiaTheme="minorHAnsi" w:cs="Arial"/>
        </w:rPr>
        <w:t xml:space="preserve">last LEP update </w:t>
      </w:r>
      <w:r>
        <w:rPr>
          <w:rFonts w:eastAsiaTheme="minorHAnsi" w:cs="Arial"/>
        </w:rPr>
        <w:t>report in February 2016 was for city centre road works to re-align bus routes and support greater pedestrianisation in the city centre</w:t>
      </w:r>
      <w:r w:rsidR="00A61F98">
        <w:rPr>
          <w:rFonts w:eastAsiaTheme="minorHAnsi" w:cs="Arial"/>
        </w:rPr>
        <w:t xml:space="preserve"> at Queen’s Street</w:t>
      </w:r>
    </w:p>
    <w:p w:rsidR="00303689" w:rsidRPr="00F12847" w:rsidRDefault="00AA59ED" w:rsidP="000A2246">
      <w:pPr>
        <w:pStyle w:val="ListParagraph"/>
        <w:numPr>
          <w:ilvl w:val="1"/>
          <w:numId w:val="18"/>
        </w:numPr>
        <w:ind w:left="360"/>
        <w:rPr>
          <w:rFonts w:eastAsiaTheme="minorHAnsi" w:cs="Arial"/>
        </w:rPr>
      </w:pPr>
      <w:r>
        <w:rPr>
          <w:rFonts w:eastAsiaTheme="minorHAnsi" w:cs="Arial"/>
        </w:rPr>
        <w:t>Capital funds</w:t>
      </w:r>
      <w:r w:rsidR="00C40C00">
        <w:rPr>
          <w:rFonts w:eastAsiaTheme="minorHAnsi" w:cs="Arial"/>
        </w:rPr>
        <w:t xml:space="preserve"> secured from Government</w:t>
      </w:r>
      <w:r w:rsidR="006727FF">
        <w:rPr>
          <w:rFonts w:eastAsiaTheme="minorHAnsi" w:cs="Arial"/>
        </w:rPr>
        <w:t xml:space="preserve"> for Oxford and surrounds</w:t>
      </w:r>
      <w:r w:rsidR="00C40C00">
        <w:rPr>
          <w:rFonts w:eastAsiaTheme="minorHAnsi" w:cs="Arial"/>
        </w:rPr>
        <w:t>,</w:t>
      </w:r>
      <w:r>
        <w:rPr>
          <w:rFonts w:eastAsiaTheme="minorHAnsi" w:cs="Arial"/>
        </w:rPr>
        <w:t xml:space="preserve"> </w:t>
      </w:r>
      <w:r w:rsidR="006727FF">
        <w:rPr>
          <w:rFonts w:eastAsiaTheme="minorHAnsi" w:cs="Arial"/>
        </w:rPr>
        <w:t>where delivery is ongoing include:</w:t>
      </w:r>
    </w:p>
    <w:p w:rsidR="00303689" w:rsidRDefault="00303689" w:rsidP="000A2246">
      <w:pPr>
        <w:pStyle w:val="ListParagraph"/>
        <w:numPr>
          <w:ilvl w:val="2"/>
          <w:numId w:val="18"/>
        </w:numPr>
        <w:ind w:left="1560" w:hanging="360"/>
        <w:rPr>
          <w:rFonts w:eastAsiaTheme="minorHAnsi" w:cs="Arial"/>
        </w:rPr>
      </w:pPr>
      <w:r>
        <w:rPr>
          <w:rFonts w:eastAsiaTheme="minorHAnsi" w:cs="Arial"/>
        </w:rPr>
        <w:t xml:space="preserve">Northern Gateway -£6M </w:t>
      </w:r>
    </w:p>
    <w:p w:rsidR="00303689" w:rsidRDefault="00303689" w:rsidP="000A2246">
      <w:pPr>
        <w:pStyle w:val="ListParagraph"/>
        <w:numPr>
          <w:ilvl w:val="2"/>
          <w:numId w:val="18"/>
        </w:numPr>
        <w:ind w:left="1560" w:hanging="360"/>
        <w:rPr>
          <w:rFonts w:eastAsiaTheme="minorHAnsi" w:cs="Arial"/>
        </w:rPr>
      </w:pPr>
      <w:r>
        <w:rPr>
          <w:rFonts w:eastAsiaTheme="minorHAnsi" w:cs="Arial"/>
        </w:rPr>
        <w:t>Oxpens - £3</w:t>
      </w:r>
      <w:r w:rsidR="00D500D1">
        <w:rPr>
          <w:rFonts w:eastAsiaTheme="minorHAnsi" w:cs="Arial"/>
        </w:rPr>
        <w:t>.5</w:t>
      </w:r>
      <w:r>
        <w:rPr>
          <w:rFonts w:eastAsiaTheme="minorHAnsi" w:cs="Arial"/>
        </w:rPr>
        <w:t>M</w:t>
      </w:r>
      <w:r w:rsidR="00F83D92">
        <w:rPr>
          <w:rFonts w:eastAsiaTheme="minorHAnsi" w:cs="Arial"/>
        </w:rPr>
        <w:t xml:space="preserve"> </w:t>
      </w:r>
    </w:p>
    <w:p w:rsidR="00D500D1" w:rsidRDefault="00D500D1" w:rsidP="000A2246">
      <w:pPr>
        <w:pStyle w:val="ListParagraph"/>
        <w:numPr>
          <w:ilvl w:val="2"/>
          <w:numId w:val="18"/>
        </w:numPr>
        <w:ind w:left="1560" w:hanging="360"/>
        <w:rPr>
          <w:rFonts w:eastAsiaTheme="minorHAnsi" w:cs="Arial"/>
        </w:rPr>
      </w:pPr>
      <w:r w:rsidRPr="00D500D1">
        <w:rPr>
          <w:rFonts w:eastAsiaTheme="minorHAnsi" w:cs="Arial"/>
        </w:rPr>
        <w:t>£15.2m go towards two innovation centres based at Oxford University: the Begbroke Innovation Accelerator at Begbroke Science Park</w:t>
      </w:r>
      <w:r>
        <w:rPr>
          <w:rFonts w:eastAsiaTheme="minorHAnsi" w:cs="Arial"/>
        </w:rPr>
        <w:t xml:space="preserve"> (Cherwell)</w:t>
      </w:r>
      <w:r w:rsidRPr="00D500D1">
        <w:rPr>
          <w:rFonts w:eastAsiaTheme="minorHAnsi" w:cs="Arial"/>
        </w:rPr>
        <w:t xml:space="preserve"> and the Oxford BioEscalator at t</w:t>
      </w:r>
      <w:r w:rsidR="00F83D92">
        <w:rPr>
          <w:rFonts w:eastAsiaTheme="minorHAnsi" w:cs="Arial"/>
        </w:rPr>
        <w:t>he University's Old Road Campus.</w:t>
      </w:r>
    </w:p>
    <w:p w:rsidR="000C72A7" w:rsidRDefault="000C72A7" w:rsidP="000A2246">
      <w:pPr>
        <w:pStyle w:val="ListParagraph"/>
        <w:numPr>
          <w:ilvl w:val="2"/>
          <w:numId w:val="18"/>
        </w:numPr>
        <w:ind w:left="1560" w:hanging="360"/>
        <w:rPr>
          <w:rFonts w:eastAsiaTheme="minorHAnsi" w:cs="Arial"/>
        </w:rPr>
      </w:pPr>
      <w:r>
        <w:rPr>
          <w:rFonts w:eastAsiaTheme="minorHAnsi" w:cs="Arial"/>
        </w:rPr>
        <w:t xml:space="preserve">£26M towards the </w:t>
      </w:r>
      <w:r w:rsidR="00D500D1">
        <w:rPr>
          <w:rFonts w:eastAsiaTheme="minorHAnsi" w:cs="Arial"/>
        </w:rPr>
        <w:t>Western Flood</w:t>
      </w:r>
      <w:r>
        <w:rPr>
          <w:rFonts w:eastAsiaTheme="minorHAnsi" w:cs="Arial"/>
        </w:rPr>
        <w:t xml:space="preserve"> Relief Channel</w:t>
      </w:r>
      <w:r w:rsidR="00AA59ED">
        <w:rPr>
          <w:rFonts w:eastAsiaTheme="minorHAnsi" w:cs="Arial"/>
        </w:rPr>
        <w:t xml:space="preserve"> and </w:t>
      </w:r>
      <w:r w:rsidR="00C40C00">
        <w:rPr>
          <w:rFonts w:eastAsiaTheme="minorHAnsi" w:cs="Arial"/>
        </w:rPr>
        <w:t>£0.6m</w:t>
      </w:r>
      <w:r w:rsidR="00AA59ED">
        <w:rPr>
          <w:rFonts w:eastAsiaTheme="minorHAnsi" w:cs="Arial"/>
        </w:rPr>
        <w:t xml:space="preserve"> Flood containment at Northway</w:t>
      </w:r>
      <w:r w:rsidR="00D500D1">
        <w:rPr>
          <w:rFonts w:eastAsiaTheme="minorHAnsi" w:cs="Arial"/>
        </w:rPr>
        <w:t>.</w:t>
      </w:r>
    </w:p>
    <w:p w:rsidR="00D500D1" w:rsidRDefault="00D500D1" w:rsidP="000A2246">
      <w:pPr>
        <w:pStyle w:val="ListParagraph"/>
        <w:numPr>
          <w:ilvl w:val="2"/>
          <w:numId w:val="18"/>
        </w:numPr>
        <w:ind w:left="1560" w:hanging="360"/>
        <w:rPr>
          <w:rFonts w:eastAsiaTheme="minorHAnsi" w:cs="Arial"/>
        </w:rPr>
      </w:pPr>
      <w:r>
        <w:rPr>
          <w:rFonts w:eastAsiaTheme="minorHAnsi" w:cs="Arial"/>
        </w:rPr>
        <w:t>Access to Headington - £8.2m</w:t>
      </w:r>
      <w:r w:rsidR="00671823">
        <w:rPr>
          <w:rFonts w:eastAsiaTheme="minorHAnsi" w:cs="Arial"/>
        </w:rPr>
        <w:t>.</w:t>
      </w:r>
    </w:p>
    <w:p w:rsidR="00AA59ED" w:rsidRDefault="00AA59ED" w:rsidP="000A2246">
      <w:pPr>
        <w:pStyle w:val="ListParagraph"/>
        <w:numPr>
          <w:ilvl w:val="2"/>
          <w:numId w:val="18"/>
        </w:numPr>
        <w:ind w:left="1560" w:hanging="360"/>
        <w:rPr>
          <w:rFonts w:eastAsiaTheme="minorHAnsi" w:cs="Arial"/>
        </w:rPr>
      </w:pPr>
      <w:r>
        <w:rPr>
          <w:rFonts w:eastAsiaTheme="minorHAnsi" w:cs="Arial"/>
        </w:rPr>
        <w:t xml:space="preserve">Centre for Applied Superconductivity </w:t>
      </w:r>
      <w:r w:rsidR="00C40C00">
        <w:rPr>
          <w:rFonts w:eastAsiaTheme="minorHAnsi" w:cs="Arial"/>
        </w:rPr>
        <w:t>- £4.5m</w:t>
      </w:r>
    </w:p>
    <w:p w:rsidR="00AA59ED" w:rsidRDefault="00AA59ED" w:rsidP="000A2246">
      <w:pPr>
        <w:pStyle w:val="ListParagraph"/>
        <w:numPr>
          <w:ilvl w:val="2"/>
          <w:numId w:val="18"/>
        </w:numPr>
        <w:ind w:left="1560" w:hanging="360"/>
        <w:rPr>
          <w:rFonts w:eastAsiaTheme="minorHAnsi" w:cs="Arial"/>
        </w:rPr>
      </w:pPr>
      <w:r>
        <w:rPr>
          <w:rFonts w:eastAsiaTheme="minorHAnsi" w:cs="Arial"/>
        </w:rPr>
        <w:t>Oxfordshire Centre for Technology and Innovation</w:t>
      </w:r>
      <w:r w:rsidR="00C40C00">
        <w:rPr>
          <w:rFonts w:eastAsiaTheme="minorHAnsi" w:cs="Arial"/>
        </w:rPr>
        <w:t xml:space="preserve"> - £4.5m</w:t>
      </w:r>
    </w:p>
    <w:p w:rsidR="00C40C00" w:rsidRDefault="000A2246" w:rsidP="000A2246">
      <w:pPr>
        <w:pStyle w:val="ListParagraph"/>
        <w:numPr>
          <w:ilvl w:val="2"/>
          <w:numId w:val="18"/>
        </w:numPr>
        <w:ind w:left="1560" w:hanging="360"/>
        <w:rPr>
          <w:rFonts w:eastAsiaTheme="minorHAnsi" w:cs="Arial"/>
        </w:rPr>
      </w:pPr>
      <w:r>
        <w:rPr>
          <w:rFonts w:eastAsiaTheme="minorHAnsi" w:cs="Arial"/>
        </w:rPr>
        <w:t>Science Transit (Oxon wide)</w:t>
      </w:r>
      <w:r w:rsidR="00C40C00">
        <w:rPr>
          <w:rFonts w:eastAsiaTheme="minorHAnsi" w:cs="Arial"/>
        </w:rPr>
        <w:t xml:space="preserve"> £35m</w:t>
      </w:r>
      <w:r w:rsidR="00AC7CF3">
        <w:rPr>
          <w:rFonts w:eastAsiaTheme="minorHAnsi" w:cs="Arial"/>
        </w:rPr>
        <w:t>.</w:t>
      </w:r>
    </w:p>
    <w:p w:rsidR="00D500D1" w:rsidRPr="00DF720C" w:rsidRDefault="00D500D1" w:rsidP="000A2246">
      <w:pPr>
        <w:pStyle w:val="ListParagraph"/>
        <w:ind w:left="360" w:hanging="360"/>
        <w:rPr>
          <w:rFonts w:eastAsiaTheme="minorHAnsi" w:cs="Arial"/>
        </w:rPr>
      </w:pPr>
    </w:p>
    <w:p w:rsidR="00A3356D" w:rsidRPr="000A2246" w:rsidRDefault="00BB2962" w:rsidP="000A2246">
      <w:pPr>
        <w:pStyle w:val="ListParagraph"/>
        <w:numPr>
          <w:ilvl w:val="0"/>
          <w:numId w:val="18"/>
        </w:numPr>
        <w:ind w:left="360"/>
        <w:rPr>
          <w:rFonts w:cs="Arial"/>
          <w:b/>
        </w:rPr>
      </w:pPr>
      <w:r w:rsidRPr="00C40C00">
        <w:rPr>
          <w:rFonts w:cs="Arial"/>
          <w:b/>
        </w:rPr>
        <w:t>Impact:</w:t>
      </w:r>
      <w:r>
        <w:rPr>
          <w:rFonts w:cs="Arial"/>
        </w:rPr>
        <w:t xml:space="preserve"> OxLEP monitors and report</w:t>
      </w:r>
      <w:r w:rsidR="006727FF">
        <w:rPr>
          <w:rFonts w:cs="Arial"/>
        </w:rPr>
        <w:t>s</w:t>
      </w:r>
      <w:r>
        <w:rPr>
          <w:rFonts w:cs="Arial"/>
        </w:rPr>
        <w:t xml:space="preserve"> its impact to the OxLEP Board through a quarterly Operating Plan.</w:t>
      </w:r>
      <w:r w:rsidR="006727FF">
        <w:rPr>
          <w:rFonts w:cs="Arial"/>
        </w:rPr>
        <w:t xml:space="preserve"> In</w:t>
      </w:r>
      <w:r>
        <w:rPr>
          <w:rFonts w:cs="Arial"/>
        </w:rPr>
        <w:t xml:space="preserve"> general terms, the LEP’</w:t>
      </w:r>
      <w:r w:rsidR="005252EB">
        <w:rPr>
          <w:rFonts w:cs="Arial"/>
        </w:rPr>
        <w:t xml:space="preserve">s work is now characterised </w:t>
      </w:r>
      <w:r>
        <w:rPr>
          <w:rFonts w:cs="Arial"/>
        </w:rPr>
        <w:t>by strategy,</w:t>
      </w:r>
      <w:r w:rsidR="006727FF">
        <w:rPr>
          <w:rFonts w:cs="Arial"/>
        </w:rPr>
        <w:t xml:space="preserve"> influence,</w:t>
      </w:r>
      <w:r>
        <w:rPr>
          <w:rFonts w:cs="Arial"/>
        </w:rPr>
        <w:t xml:space="preserve"> coordination and delivery of programmes that directly or indirectly enable job creation/safeguarding/attraction, new homes or improvement of the support and innovation environment for business.</w:t>
      </w:r>
      <w:r w:rsidR="005252EB">
        <w:rPr>
          <w:rFonts w:cs="Arial"/>
        </w:rPr>
        <w:t xml:space="preserve"> Taken together, the projects and progr</w:t>
      </w:r>
      <w:r w:rsidR="00AC7CF3">
        <w:rPr>
          <w:rFonts w:cs="Arial"/>
        </w:rPr>
        <w:t>ammes the LEP is involved in have</w:t>
      </w:r>
      <w:r w:rsidR="005252EB">
        <w:rPr>
          <w:rFonts w:cs="Arial"/>
        </w:rPr>
        <w:t xml:space="preserve"> the potential to directly or indirectly support c10,000 jobs, </w:t>
      </w:r>
      <w:r w:rsidR="006727FF">
        <w:rPr>
          <w:rFonts w:cs="Arial"/>
        </w:rPr>
        <w:t>c</w:t>
      </w:r>
      <w:r w:rsidR="005252EB">
        <w:rPr>
          <w:rFonts w:cs="Arial"/>
        </w:rPr>
        <w:t>6,000 construction jobs and accelerated housing completions related to new infrastructure, going some way towards enabling the overall projections for job and housing growth in the Strategic Economic Plan.</w:t>
      </w:r>
    </w:p>
    <w:p w:rsidR="005252EB" w:rsidRDefault="005252EB" w:rsidP="000A2246">
      <w:pPr>
        <w:pStyle w:val="ListParagraph"/>
        <w:ind w:left="360" w:hanging="360"/>
        <w:rPr>
          <w:rFonts w:cs="Arial"/>
        </w:rPr>
      </w:pPr>
    </w:p>
    <w:p w:rsidR="00BB2962" w:rsidRPr="000A2246" w:rsidRDefault="00BB2962" w:rsidP="000A2246">
      <w:pPr>
        <w:pStyle w:val="ListParagraph"/>
        <w:numPr>
          <w:ilvl w:val="0"/>
          <w:numId w:val="18"/>
        </w:numPr>
        <w:ind w:left="360"/>
        <w:rPr>
          <w:rFonts w:cs="Arial"/>
          <w:b/>
        </w:rPr>
      </w:pPr>
      <w:r w:rsidRPr="00C40C00">
        <w:rPr>
          <w:rFonts w:cs="Arial"/>
          <w:b/>
        </w:rPr>
        <w:t>Partnership Function:</w:t>
      </w:r>
      <w:r>
        <w:rPr>
          <w:rFonts w:cs="Arial"/>
        </w:rPr>
        <w:t xml:space="preserve"> The LEP makes a collective effort to work in partnership with business, local authorities, education and other stakeholders</w:t>
      </w:r>
      <w:r w:rsidR="006727FF">
        <w:rPr>
          <w:rFonts w:cs="Arial"/>
        </w:rPr>
        <w:t>, in what is relatively a complex environment</w:t>
      </w:r>
      <w:r>
        <w:rPr>
          <w:rFonts w:cs="Arial"/>
        </w:rPr>
        <w:t>. City council officers are working to</w:t>
      </w:r>
      <w:r w:rsidR="005252EB">
        <w:rPr>
          <w:rFonts w:cs="Arial"/>
        </w:rPr>
        <w:t xml:space="preserve"> help</w:t>
      </w:r>
      <w:r>
        <w:rPr>
          <w:rFonts w:cs="Arial"/>
        </w:rPr>
        <w:t xml:space="preserve"> ensure this partnership continues to function well</w:t>
      </w:r>
      <w:r w:rsidR="005252EB">
        <w:rPr>
          <w:rFonts w:cs="Arial"/>
        </w:rPr>
        <w:t xml:space="preserve"> in the city’s interests, particularly important</w:t>
      </w:r>
      <w:r>
        <w:rPr>
          <w:rFonts w:cs="Arial"/>
        </w:rPr>
        <w:t xml:space="preserve"> as the LEP’s role and staff resourcing has grown in recent months.</w:t>
      </w:r>
    </w:p>
    <w:p w:rsidR="000A2246" w:rsidRPr="000A2246" w:rsidRDefault="000A2246" w:rsidP="000A2246">
      <w:pPr>
        <w:rPr>
          <w:rFonts w:cs="Arial"/>
        </w:rPr>
      </w:pPr>
      <w:bookmarkStart w:id="0" w:name="_GoBack"/>
      <w:bookmarkEnd w:id="0"/>
    </w:p>
    <w:p w:rsidR="00712100" w:rsidRDefault="00712100" w:rsidP="00712100">
      <w:pPr>
        <w:spacing w:after="0"/>
        <w:rPr>
          <w:b/>
        </w:rPr>
      </w:pPr>
      <w:r>
        <w:rPr>
          <w:b/>
        </w:rPr>
        <w:t>Financial Implications</w:t>
      </w:r>
    </w:p>
    <w:p w:rsidR="00712100" w:rsidRDefault="00712100" w:rsidP="00712100">
      <w:pPr>
        <w:spacing w:after="0"/>
        <w:rPr>
          <w:b/>
        </w:rPr>
      </w:pPr>
    </w:p>
    <w:p w:rsidR="00EF67AA" w:rsidRPr="00EF67AA" w:rsidRDefault="00EF67AA" w:rsidP="00B73E1C">
      <w:pPr>
        <w:spacing w:after="0"/>
      </w:pPr>
      <w:r w:rsidRPr="00EF67AA">
        <w:t xml:space="preserve">The City Council has </w:t>
      </w:r>
      <w:r w:rsidR="00790BF2" w:rsidRPr="00EF67AA">
        <w:t>not</w:t>
      </w:r>
      <w:r w:rsidR="00790BF2">
        <w:t xml:space="preserve"> been required to make a direct budget contribution to the LEP</w:t>
      </w:r>
      <w:r w:rsidR="00AC7CF3">
        <w:t>,</w:t>
      </w:r>
      <w:r w:rsidR="00790BF2">
        <w:t xml:space="preserve"> but </w:t>
      </w:r>
      <w:r w:rsidR="00AC7CF3">
        <w:t xml:space="preserve">there is </w:t>
      </w:r>
      <w:r w:rsidR="00790BF2">
        <w:t xml:space="preserve">a significant amount of resource in kind </w:t>
      </w:r>
      <w:r w:rsidR="00AF1DA4">
        <w:t>through member</w:t>
      </w:r>
      <w:r w:rsidR="00790BF2">
        <w:t xml:space="preserve"> and staff</w:t>
      </w:r>
      <w:r>
        <w:t xml:space="preserve"> time for attending meetings,</w:t>
      </w:r>
      <w:r w:rsidRPr="00EF67AA">
        <w:t xml:space="preserve"> coordination and</w:t>
      </w:r>
      <w:r>
        <w:t xml:space="preserve"> </w:t>
      </w:r>
      <w:r w:rsidRPr="00EF67AA">
        <w:t>communication of decisions</w:t>
      </w:r>
      <w:r>
        <w:t xml:space="preserve">, and matching </w:t>
      </w:r>
      <w:r w:rsidR="0029364A">
        <w:t>existing</w:t>
      </w:r>
      <w:r>
        <w:t xml:space="preserve"> </w:t>
      </w:r>
      <w:r w:rsidR="0029364A">
        <w:t xml:space="preserve">staff </w:t>
      </w:r>
      <w:r>
        <w:t>costs of European Funded programmes related to business support</w:t>
      </w:r>
      <w:r w:rsidRPr="00EF67AA">
        <w:t>. There are no additional financial implications as a direct result of this report</w:t>
      </w:r>
    </w:p>
    <w:p w:rsidR="002C6268" w:rsidRDefault="002C6268" w:rsidP="00B73E1C">
      <w:pPr>
        <w:spacing w:after="0"/>
        <w:rPr>
          <w:b/>
        </w:rPr>
      </w:pPr>
    </w:p>
    <w:p w:rsidR="00B73E1C" w:rsidRDefault="00B73E1C" w:rsidP="00B73E1C">
      <w:pPr>
        <w:rPr>
          <w:b/>
        </w:rPr>
      </w:pPr>
      <w:r>
        <w:rPr>
          <w:b/>
        </w:rPr>
        <w:t>Legal Implications</w:t>
      </w:r>
    </w:p>
    <w:p w:rsidR="00852A49" w:rsidRDefault="00647B74" w:rsidP="005252EB">
      <w:r w:rsidRPr="00DA4A59">
        <w:t>There are no legal implications</w:t>
      </w:r>
      <w:r w:rsidR="00EF67AA">
        <w:t>.</w:t>
      </w:r>
    </w:p>
    <w:p w:rsidR="00852A49" w:rsidRDefault="00852A49" w:rsidP="00B73E1C">
      <w:pPr>
        <w:spacing w:after="0"/>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73E1C" w:rsidTr="00B73E1C">
        <w:tc>
          <w:tcPr>
            <w:tcW w:w="8522" w:type="dxa"/>
            <w:tcBorders>
              <w:top w:val="single" w:sz="4" w:space="0" w:color="auto"/>
              <w:left w:val="single" w:sz="4" w:space="0" w:color="auto"/>
              <w:bottom w:val="nil"/>
              <w:right w:val="single" w:sz="4" w:space="0" w:color="auto"/>
            </w:tcBorders>
            <w:hideMark/>
          </w:tcPr>
          <w:p w:rsidR="00B73E1C" w:rsidRDefault="00B73E1C">
            <w:pPr>
              <w:tabs>
                <w:tab w:val="left" w:pos="720"/>
                <w:tab w:val="left" w:pos="1440"/>
                <w:tab w:val="left" w:pos="2160"/>
                <w:tab w:val="left" w:pos="2880"/>
              </w:tabs>
            </w:pPr>
            <w:r>
              <w:t xml:space="preserve"> </w:t>
            </w:r>
            <w:r w:rsidRPr="00852A49">
              <w:rPr>
                <w:b/>
              </w:rPr>
              <w:t>N</w:t>
            </w:r>
            <w:r>
              <w:rPr>
                <w:b/>
                <w:bCs/>
              </w:rPr>
              <w:t>ame and contact details of author:-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F67AA">
            <w:pPr>
              <w:tabs>
                <w:tab w:val="left" w:pos="720"/>
                <w:tab w:val="left" w:pos="1440"/>
                <w:tab w:val="left" w:pos="2160"/>
                <w:tab w:val="left" w:pos="2880"/>
              </w:tabs>
            </w:pPr>
            <w:r>
              <w:rPr>
                <w:b/>
              </w:rPr>
              <w:t>Name:</w:t>
            </w:r>
            <w:r w:rsidR="00744B94">
              <w:t xml:space="preserve"> </w:t>
            </w:r>
            <w:r w:rsidR="00EF67AA">
              <w:t>Matt Peachey</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F67AA">
            <w:pPr>
              <w:tabs>
                <w:tab w:val="left" w:pos="720"/>
                <w:tab w:val="left" w:pos="1440"/>
                <w:tab w:val="left" w:pos="2160"/>
                <w:tab w:val="left" w:pos="2880"/>
              </w:tabs>
            </w:pPr>
            <w:r>
              <w:rPr>
                <w:b/>
              </w:rPr>
              <w:t>Job title:</w:t>
            </w:r>
            <w:r>
              <w:t xml:space="preserve"> </w:t>
            </w:r>
            <w:r w:rsidR="00EF67AA">
              <w:rPr>
                <w:rFonts w:ascii="Helvetica" w:hAnsi="Helvetica" w:cs="Helvetica"/>
                <w:lang w:val="en"/>
              </w:rPr>
              <w:t>Economic Development Manager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DA4A59">
            <w:pPr>
              <w:tabs>
                <w:tab w:val="left" w:pos="720"/>
                <w:tab w:val="left" w:pos="1440"/>
                <w:tab w:val="left" w:pos="2160"/>
                <w:tab w:val="left" w:pos="2880"/>
              </w:tabs>
            </w:pPr>
            <w:r>
              <w:rPr>
                <w:b/>
              </w:rPr>
              <w:t>Service Area</w:t>
            </w:r>
            <w:r w:rsidR="00EF67AA">
              <w:t xml:space="preserve">: </w:t>
            </w:r>
            <w:r w:rsidR="00DA4A59" w:rsidRPr="00DA4A59">
              <w:t>Partnerships and Regeneration</w:t>
            </w:r>
          </w:p>
        </w:tc>
      </w:tr>
      <w:tr w:rsidR="00B73E1C" w:rsidTr="00B73E1C">
        <w:tc>
          <w:tcPr>
            <w:tcW w:w="8522" w:type="dxa"/>
            <w:tcBorders>
              <w:top w:val="nil"/>
              <w:left w:val="single" w:sz="4" w:space="0" w:color="auto"/>
              <w:bottom w:val="single" w:sz="4" w:space="0" w:color="auto"/>
              <w:right w:val="single" w:sz="4" w:space="0" w:color="auto"/>
            </w:tcBorders>
            <w:hideMark/>
          </w:tcPr>
          <w:p w:rsidR="006534AE" w:rsidRDefault="00B73E1C" w:rsidP="00744B94">
            <w:pPr>
              <w:tabs>
                <w:tab w:val="left" w:pos="720"/>
                <w:tab w:val="left" w:pos="1440"/>
                <w:tab w:val="left" w:pos="2160"/>
                <w:tab w:val="left" w:pos="2880"/>
              </w:tabs>
            </w:pPr>
            <w:r>
              <w:rPr>
                <w:b/>
              </w:rPr>
              <w:t>Tel:</w:t>
            </w:r>
            <w:r>
              <w:t xml:space="preserve">  </w:t>
            </w:r>
            <w:r w:rsidR="006534AE">
              <w:t>01865 252</w:t>
            </w:r>
            <w:r w:rsidR="00EF67AA">
              <w:t>021</w:t>
            </w:r>
          </w:p>
          <w:p w:rsidR="00B73E1C" w:rsidRDefault="00B73E1C" w:rsidP="00EF67AA">
            <w:pPr>
              <w:tabs>
                <w:tab w:val="left" w:pos="720"/>
                <w:tab w:val="left" w:pos="1440"/>
                <w:tab w:val="left" w:pos="2160"/>
                <w:tab w:val="left" w:pos="2880"/>
              </w:tabs>
              <w:rPr>
                <w:color w:val="0000FF"/>
                <w:u w:val="single"/>
              </w:rPr>
            </w:pPr>
            <w:r>
              <w:rPr>
                <w:b/>
              </w:rPr>
              <w:t>e-mail:</w:t>
            </w:r>
            <w:r>
              <w:t xml:space="preserve"> </w:t>
            </w:r>
            <w:r w:rsidR="00EF67AA">
              <w:t>mpeachey</w:t>
            </w:r>
            <w:r w:rsidR="006534AE">
              <w:t>@oxford.gov.uk</w:t>
            </w:r>
          </w:p>
        </w:tc>
      </w:tr>
    </w:tbl>
    <w:p w:rsidR="00B73E1C" w:rsidRDefault="00B73E1C" w:rsidP="00B73E1C">
      <w:pPr>
        <w:rPr>
          <w:rFonts w:cs="Arial"/>
          <w:b/>
          <w:bCs/>
        </w:rPr>
      </w:pPr>
    </w:p>
    <w:p w:rsidR="00B73E1C" w:rsidRDefault="00B73E1C" w:rsidP="00B73E1C">
      <w:pPr>
        <w:rPr>
          <w:rFonts w:cs="Arial"/>
          <w:b/>
          <w:bCs/>
        </w:rPr>
      </w:pPr>
      <w:r>
        <w:rPr>
          <w:rFonts w:cs="Arial"/>
          <w:b/>
          <w:bCs/>
        </w:rPr>
        <w:t xml:space="preserve">List of background papers: </w:t>
      </w:r>
    </w:p>
    <w:p w:rsidR="00B73E1C" w:rsidRDefault="00B73E1C" w:rsidP="00B73E1C">
      <w:pPr>
        <w:rPr>
          <w:rFonts w:cs="Arial"/>
          <w:bCs/>
        </w:rPr>
      </w:pPr>
      <w:r>
        <w:rPr>
          <w:rFonts w:cs="Arial"/>
          <w:bCs/>
        </w:rPr>
        <w:t>Further information can be found on the web site link below.</w:t>
      </w:r>
    </w:p>
    <w:p w:rsidR="00B73E1C" w:rsidRDefault="0072426F" w:rsidP="00B73E1C">
      <w:pPr>
        <w:rPr>
          <w:b/>
          <w:bCs/>
        </w:rPr>
      </w:pPr>
      <w:hyperlink r:id="rId13" w:history="1">
        <w:r w:rsidR="00EF67AA" w:rsidRPr="00A50D8F">
          <w:rPr>
            <w:rStyle w:val="Hyperlink"/>
          </w:rPr>
          <w:t>http://www.oxfordshirelep.org.uk/</w:t>
        </w:r>
      </w:hyperlink>
      <w:r w:rsidR="00EF67AA">
        <w:t xml:space="preserve"> </w:t>
      </w:r>
    </w:p>
    <w:p w:rsidR="00B73E1C" w:rsidRDefault="00B73E1C" w:rsidP="00B73E1C">
      <w:pPr>
        <w:rPr>
          <w:b/>
          <w:bCs/>
        </w:rPr>
      </w:pPr>
    </w:p>
    <w:sectPr w:rsidR="00B73E1C" w:rsidSect="000A2246">
      <w:pgSz w:w="11906" w:h="16838" w:code="9"/>
      <w:pgMar w:top="1304" w:right="1304" w:bottom="1304" w:left="130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72" w:rsidRDefault="00076E72" w:rsidP="00E12010">
      <w:pPr>
        <w:spacing w:after="0"/>
      </w:pPr>
      <w:r>
        <w:separator/>
      </w:r>
    </w:p>
  </w:endnote>
  <w:endnote w:type="continuationSeparator" w:id="0">
    <w:p w:rsidR="00076E72" w:rsidRDefault="00076E72" w:rsidP="00E12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72" w:rsidRDefault="00076E72" w:rsidP="00E12010">
      <w:pPr>
        <w:spacing w:after="0"/>
      </w:pPr>
      <w:r>
        <w:separator/>
      </w:r>
    </w:p>
  </w:footnote>
  <w:footnote w:type="continuationSeparator" w:id="0">
    <w:p w:rsidR="00076E72" w:rsidRDefault="00076E72" w:rsidP="00E12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84"/>
    <w:multiLevelType w:val="multilevel"/>
    <w:tmpl w:val="2F6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5CAA"/>
    <w:multiLevelType w:val="hybridMultilevel"/>
    <w:tmpl w:val="4220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F849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A4542"/>
    <w:multiLevelType w:val="multilevel"/>
    <w:tmpl w:val="722C9A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AA41E3"/>
    <w:multiLevelType w:val="hybridMultilevel"/>
    <w:tmpl w:val="E3AE2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2D2744"/>
    <w:multiLevelType w:val="hybridMultilevel"/>
    <w:tmpl w:val="2AD81C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476C9B"/>
    <w:multiLevelType w:val="multilevel"/>
    <w:tmpl w:val="74D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460F"/>
    <w:multiLevelType w:val="hybridMultilevel"/>
    <w:tmpl w:val="D77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26A2D"/>
    <w:multiLevelType w:val="hybridMultilevel"/>
    <w:tmpl w:val="82268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0C5675"/>
    <w:multiLevelType w:val="hybridMultilevel"/>
    <w:tmpl w:val="D4C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431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A22555"/>
    <w:multiLevelType w:val="hybridMultilevel"/>
    <w:tmpl w:val="BD60BC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8113ED7"/>
    <w:multiLevelType w:val="multilevel"/>
    <w:tmpl w:val="12B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22E66"/>
    <w:multiLevelType w:val="hybridMultilevel"/>
    <w:tmpl w:val="E9E6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4A711B"/>
    <w:multiLevelType w:val="hybridMultilevel"/>
    <w:tmpl w:val="EA8A6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D146E30"/>
    <w:multiLevelType w:val="hybridMultilevel"/>
    <w:tmpl w:val="D68C6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4B35E0"/>
    <w:multiLevelType w:val="hybridMultilevel"/>
    <w:tmpl w:val="3B56A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C6D2283"/>
    <w:multiLevelType w:val="hybridMultilevel"/>
    <w:tmpl w:val="7AA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2836BE"/>
    <w:multiLevelType w:val="hybridMultilevel"/>
    <w:tmpl w:val="BF581398"/>
    <w:lvl w:ilvl="0" w:tplc="28D4CA42">
      <w:start w:val="1"/>
      <w:numFmt w:val="bullet"/>
      <w:lvlText w:val="–"/>
      <w:lvlJc w:val="left"/>
      <w:pPr>
        <w:tabs>
          <w:tab w:val="num" w:pos="720"/>
        </w:tabs>
        <w:ind w:left="720" w:hanging="360"/>
      </w:pPr>
      <w:rPr>
        <w:rFonts w:ascii="Times New Roman" w:hAnsi="Times New Roman" w:cs="Times New Roman" w:hint="default"/>
      </w:rPr>
    </w:lvl>
    <w:lvl w:ilvl="1" w:tplc="C9868FA0">
      <w:start w:val="1"/>
      <w:numFmt w:val="bullet"/>
      <w:lvlText w:val="–"/>
      <w:lvlJc w:val="left"/>
      <w:pPr>
        <w:tabs>
          <w:tab w:val="num" w:pos="1440"/>
        </w:tabs>
        <w:ind w:left="1440" w:hanging="360"/>
      </w:pPr>
      <w:rPr>
        <w:rFonts w:ascii="Times New Roman" w:hAnsi="Times New Roman" w:cs="Times New Roman" w:hint="default"/>
      </w:rPr>
    </w:lvl>
    <w:lvl w:ilvl="2" w:tplc="8D7A0536">
      <w:start w:val="1"/>
      <w:numFmt w:val="bullet"/>
      <w:lvlText w:val="–"/>
      <w:lvlJc w:val="left"/>
      <w:pPr>
        <w:tabs>
          <w:tab w:val="num" w:pos="2160"/>
        </w:tabs>
        <w:ind w:left="2160" w:hanging="360"/>
      </w:pPr>
      <w:rPr>
        <w:rFonts w:ascii="Times New Roman" w:hAnsi="Times New Roman" w:cs="Times New Roman" w:hint="default"/>
      </w:rPr>
    </w:lvl>
    <w:lvl w:ilvl="3" w:tplc="24986742">
      <w:start w:val="1"/>
      <w:numFmt w:val="bullet"/>
      <w:lvlText w:val="–"/>
      <w:lvlJc w:val="left"/>
      <w:pPr>
        <w:tabs>
          <w:tab w:val="num" w:pos="2880"/>
        </w:tabs>
        <w:ind w:left="2880" w:hanging="360"/>
      </w:pPr>
      <w:rPr>
        <w:rFonts w:ascii="Times New Roman" w:hAnsi="Times New Roman" w:cs="Times New Roman" w:hint="default"/>
      </w:rPr>
    </w:lvl>
    <w:lvl w:ilvl="4" w:tplc="E384FBAA">
      <w:start w:val="1"/>
      <w:numFmt w:val="bullet"/>
      <w:lvlText w:val="–"/>
      <w:lvlJc w:val="left"/>
      <w:pPr>
        <w:tabs>
          <w:tab w:val="num" w:pos="3600"/>
        </w:tabs>
        <w:ind w:left="3600" w:hanging="360"/>
      </w:pPr>
      <w:rPr>
        <w:rFonts w:ascii="Times New Roman" w:hAnsi="Times New Roman" w:cs="Times New Roman" w:hint="default"/>
      </w:rPr>
    </w:lvl>
    <w:lvl w:ilvl="5" w:tplc="5BC6365E">
      <w:start w:val="1"/>
      <w:numFmt w:val="bullet"/>
      <w:lvlText w:val="–"/>
      <w:lvlJc w:val="left"/>
      <w:pPr>
        <w:tabs>
          <w:tab w:val="num" w:pos="4320"/>
        </w:tabs>
        <w:ind w:left="4320" w:hanging="360"/>
      </w:pPr>
      <w:rPr>
        <w:rFonts w:ascii="Times New Roman" w:hAnsi="Times New Roman" w:cs="Times New Roman" w:hint="default"/>
      </w:rPr>
    </w:lvl>
    <w:lvl w:ilvl="6" w:tplc="1960C862">
      <w:start w:val="1"/>
      <w:numFmt w:val="bullet"/>
      <w:lvlText w:val="–"/>
      <w:lvlJc w:val="left"/>
      <w:pPr>
        <w:tabs>
          <w:tab w:val="num" w:pos="5040"/>
        </w:tabs>
        <w:ind w:left="5040" w:hanging="360"/>
      </w:pPr>
      <w:rPr>
        <w:rFonts w:ascii="Times New Roman" w:hAnsi="Times New Roman" w:cs="Times New Roman" w:hint="default"/>
      </w:rPr>
    </w:lvl>
    <w:lvl w:ilvl="7" w:tplc="FC2CA7D8">
      <w:start w:val="1"/>
      <w:numFmt w:val="bullet"/>
      <w:lvlText w:val="–"/>
      <w:lvlJc w:val="left"/>
      <w:pPr>
        <w:tabs>
          <w:tab w:val="num" w:pos="5760"/>
        </w:tabs>
        <w:ind w:left="5760" w:hanging="360"/>
      </w:pPr>
      <w:rPr>
        <w:rFonts w:ascii="Times New Roman" w:hAnsi="Times New Roman" w:cs="Times New Roman" w:hint="default"/>
      </w:rPr>
    </w:lvl>
    <w:lvl w:ilvl="8" w:tplc="7292D82A">
      <w:start w:val="1"/>
      <w:numFmt w:val="bullet"/>
      <w:lvlText w:val="–"/>
      <w:lvlJc w:val="left"/>
      <w:pPr>
        <w:tabs>
          <w:tab w:val="num" w:pos="6480"/>
        </w:tabs>
        <w:ind w:left="6480" w:hanging="360"/>
      </w:pPr>
      <w:rPr>
        <w:rFonts w:ascii="Times New Roman" w:hAnsi="Times New Roman"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9"/>
  </w:num>
  <w:num w:numId="5">
    <w:abstractNumId w:val="2"/>
  </w:num>
  <w:num w:numId="6">
    <w:abstractNumId w:val="6"/>
  </w:num>
  <w:num w:numId="7">
    <w:abstractNumId w:val="7"/>
  </w:num>
  <w:num w:numId="8">
    <w:abstractNumId w:val="11"/>
  </w:num>
  <w:num w:numId="9">
    <w:abstractNumId w:val="0"/>
  </w:num>
  <w:num w:numId="10">
    <w:abstractNumId w:val="17"/>
  </w:num>
  <w:num w:numId="11">
    <w:abstractNumId w:val="5"/>
  </w:num>
  <w:num w:numId="12">
    <w:abstractNumId w:val="13"/>
  </w:num>
  <w:num w:numId="13">
    <w:abstractNumId w:val="23"/>
  </w:num>
  <w:num w:numId="14">
    <w:abstractNumId w:val="12"/>
  </w:num>
  <w:num w:numId="15">
    <w:abstractNumId w:val="21"/>
  </w:num>
  <w:num w:numId="16">
    <w:abstractNumId w:val="15"/>
  </w:num>
  <w:num w:numId="17">
    <w:abstractNumId w:val="4"/>
  </w:num>
  <w:num w:numId="18">
    <w:abstractNumId w:val="18"/>
  </w:num>
  <w:num w:numId="19">
    <w:abstractNumId w:val="1"/>
  </w:num>
  <w:num w:numId="20">
    <w:abstractNumId w:val="24"/>
  </w:num>
  <w:num w:numId="21">
    <w:abstractNumId w:val="22"/>
  </w:num>
  <w:num w:numId="22">
    <w:abstractNumId w:val="14"/>
  </w:num>
  <w:num w:numId="23">
    <w:abstractNumId w:val="8"/>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C"/>
    <w:rsid w:val="00056D51"/>
    <w:rsid w:val="000621DF"/>
    <w:rsid w:val="000639F9"/>
    <w:rsid w:val="00076E72"/>
    <w:rsid w:val="00085320"/>
    <w:rsid w:val="000A2246"/>
    <w:rsid w:val="000B4310"/>
    <w:rsid w:val="000C33CA"/>
    <w:rsid w:val="000C72A7"/>
    <w:rsid w:val="000E61EE"/>
    <w:rsid w:val="001154F4"/>
    <w:rsid w:val="00190746"/>
    <w:rsid w:val="001941C1"/>
    <w:rsid w:val="00195C0B"/>
    <w:rsid w:val="001C6352"/>
    <w:rsid w:val="001D12A6"/>
    <w:rsid w:val="00213E56"/>
    <w:rsid w:val="00226B82"/>
    <w:rsid w:val="00240582"/>
    <w:rsid w:val="00256361"/>
    <w:rsid w:val="002572CE"/>
    <w:rsid w:val="00270A2D"/>
    <w:rsid w:val="002859F2"/>
    <w:rsid w:val="0029364A"/>
    <w:rsid w:val="002C6268"/>
    <w:rsid w:val="002D107D"/>
    <w:rsid w:val="002E7FAF"/>
    <w:rsid w:val="00303689"/>
    <w:rsid w:val="003048D6"/>
    <w:rsid w:val="00307F70"/>
    <w:rsid w:val="003258E7"/>
    <w:rsid w:val="00370AE9"/>
    <w:rsid w:val="00382804"/>
    <w:rsid w:val="00387CEB"/>
    <w:rsid w:val="003A0F47"/>
    <w:rsid w:val="003D1FD7"/>
    <w:rsid w:val="004000D7"/>
    <w:rsid w:val="004334A6"/>
    <w:rsid w:val="00442C88"/>
    <w:rsid w:val="00481D54"/>
    <w:rsid w:val="004A168C"/>
    <w:rsid w:val="004F0B7F"/>
    <w:rsid w:val="00500D05"/>
    <w:rsid w:val="00504E43"/>
    <w:rsid w:val="005252EB"/>
    <w:rsid w:val="00530376"/>
    <w:rsid w:val="005836C7"/>
    <w:rsid w:val="00590382"/>
    <w:rsid w:val="00636BBA"/>
    <w:rsid w:val="00647B74"/>
    <w:rsid w:val="006534AE"/>
    <w:rsid w:val="00664BE5"/>
    <w:rsid w:val="00671823"/>
    <w:rsid w:val="006727FF"/>
    <w:rsid w:val="00675B65"/>
    <w:rsid w:val="006C001A"/>
    <w:rsid w:val="006D4061"/>
    <w:rsid w:val="00701B57"/>
    <w:rsid w:val="00712100"/>
    <w:rsid w:val="007201AD"/>
    <w:rsid w:val="0072426F"/>
    <w:rsid w:val="00744B94"/>
    <w:rsid w:val="007661A9"/>
    <w:rsid w:val="007908F4"/>
    <w:rsid w:val="00790BF2"/>
    <w:rsid w:val="007B5454"/>
    <w:rsid w:val="007C4586"/>
    <w:rsid w:val="00804A8B"/>
    <w:rsid w:val="00852A49"/>
    <w:rsid w:val="00854278"/>
    <w:rsid w:val="00862036"/>
    <w:rsid w:val="00884D66"/>
    <w:rsid w:val="008A22C6"/>
    <w:rsid w:val="008E3E56"/>
    <w:rsid w:val="008F1339"/>
    <w:rsid w:val="00916644"/>
    <w:rsid w:val="009A5818"/>
    <w:rsid w:val="00A03A36"/>
    <w:rsid w:val="00A045D5"/>
    <w:rsid w:val="00A114A9"/>
    <w:rsid w:val="00A236D8"/>
    <w:rsid w:val="00A3356D"/>
    <w:rsid w:val="00A61F98"/>
    <w:rsid w:val="00AA59ED"/>
    <w:rsid w:val="00AC7CF3"/>
    <w:rsid w:val="00AF1DA4"/>
    <w:rsid w:val="00B323DE"/>
    <w:rsid w:val="00B3341F"/>
    <w:rsid w:val="00B6674B"/>
    <w:rsid w:val="00B71E82"/>
    <w:rsid w:val="00B73E1C"/>
    <w:rsid w:val="00BA2433"/>
    <w:rsid w:val="00BB2962"/>
    <w:rsid w:val="00BC3FFE"/>
    <w:rsid w:val="00BE33B4"/>
    <w:rsid w:val="00C07F80"/>
    <w:rsid w:val="00C130F5"/>
    <w:rsid w:val="00C21A3A"/>
    <w:rsid w:val="00C346A7"/>
    <w:rsid w:val="00C40C00"/>
    <w:rsid w:val="00CC0DE8"/>
    <w:rsid w:val="00CF150C"/>
    <w:rsid w:val="00D10ABC"/>
    <w:rsid w:val="00D20D97"/>
    <w:rsid w:val="00D40935"/>
    <w:rsid w:val="00D500D1"/>
    <w:rsid w:val="00DA4A59"/>
    <w:rsid w:val="00DB2169"/>
    <w:rsid w:val="00DE3ADA"/>
    <w:rsid w:val="00DF720C"/>
    <w:rsid w:val="00E04714"/>
    <w:rsid w:val="00E12010"/>
    <w:rsid w:val="00E23043"/>
    <w:rsid w:val="00E30593"/>
    <w:rsid w:val="00E83427"/>
    <w:rsid w:val="00EB0739"/>
    <w:rsid w:val="00EB40C3"/>
    <w:rsid w:val="00ED6165"/>
    <w:rsid w:val="00EF67AA"/>
    <w:rsid w:val="00F12847"/>
    <w:rsid w:val="00F23411"/>
    <w:rsid w:val="00F4439B"/>
    <w:rsid w:val="00F81B64"/>
    <w:rsid w:val="00F83D92"/>
    <w:rsid w:val="00F90129"/>
    <w:rsid w:val="00FD3A85"/>
    <w:rsid w:val="00FF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1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0639F9"/>
    <w:rPr>
      <w:vertAlign w:val="superscript"/>
    </w:rPr>
  </w:style>
  <w:style w:type="paragraph" w:styleId="FootnoteText">
    <w:name w:val="footnote text"/>
    <w:basedOn w:val="Normal"/>
    <w:link w:val="FootnoteTextChar"/>
    <w:uiPriority w:val="99"/>
    <w:semiHidden/>
    <w:rsid w:val="000639F9"/>
    <w:pPr>
      <w:spacing w:after="0"/>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0639F9"/>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1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0639F9"/>
    <w:rPr>
      <w:vertAlign w:val="superscript"/>
    </w:rPr>
  </w:style>
  <w:style w:type="paragraph" w:styleId="FootnoteText">
    <w:name w:val="footnote text"/>
    <w:basedOn w:val="Normal"/>
    <w:link w:val="FootnoteTextChar"/>
    <w:uiPriority w:val="99"/>
    <w:semiHidden/>
    <w:rsid w:val="000639F9"/>
    <w:pPr>
      <w:spacing w:after="0"/>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0639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134">
      <w:bodyDiv w:val="1"/>
      <w:marLeft w:val="0"/>
      <w:marRight w:val="0"/>
      <w:marTop w:val="0"/>
      <w:marBottom w:val="0"/>
      <w:divBdr>
        <w:top w:val="none" w:sz="0" w:space="0" w:color="auto"/>
        <w:left w:val="none" w:sz="0" w:space="0" w:color="auto"/>
        <w:bottom w:val="none" w:sz="0" w:space="0" w:color="auto"/>
        <w:right w:val="none" w:sz="0" w:space="0" w:color="auto"/>
      </w:divBdr>
    </w:div>
    <w:div w:id="1162895207">
      <w:bodyDiv w:val="1"/>
      <w:marLeft w:val="0"/>
      <w:marRight w:val="0"/>
      <w:marTop w:val="0"/>
      <w:marBottom w:val="0"/>
      <w:divBdr>
        <w:top w:val="none" w:sz="0" w:space="0" w:color="auto"/>
        <w:left w:val="none" w:sz="0" w:space="0" w:color="auto"/>
        <w:bottom w:val="none" w:sz="0" w:space="0" w:color="auto"/>
        <w:right w:val="none" w:sz="0" w:space="0" w:color="auto"/>
      </w:divBdr>
    </w:div>
    <w:div w:id="1736469766">
      <w:bodyDiv w:val="1"/>
      <w:marLeft w:val="0"/>
      <w:marRight w:val="0"/>
      <w:marTop w:val="0"/>
      <w:marBottom w:val="0"/>
      <w:divBdr>
        <w:top w:val="none" w:sz="0" w:space="0" w:color="auto"/>
        <w:left w:val="none" w:sz="0" w:space="0" w:color="auto"/>
        <w:bottom w:val="none" w:sz="0" w:space="0" w:color="auto"/>
        <w:right w:val="none" w:sz="0" w:space="0" w:color="auto"/>
      </w:divBdr>
    </w:div>
    <w:div w:id="19253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shirelep.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oxfordshire-growth-deal-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shirelep.org.uk/cms/sites/lep/files/folders/Strategic%20Economic%20Plan/Oxford_Strategic_Economic_Pla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xfordshirelep.org.uk/cms/sites/lep/files/folders/Strategic%20Economic%20Plan/ESIF_Final_31_May_2014.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9455-7CFF-4CD4-B5B7-B08649A4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16049EE</Template>
  <TotalTime>19</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jthompson</cp:lastModifiedBy>
  <cp:revision>6</cp:revision>
  <cp:lastPrinted>2015-06-15T11:39:00Z</cp:lastPrinted>
  <dcterms:created xsi:type="dcterms:W3CDTF">2016-11-14T09:23:00Z</dcterms:created>
  <dcterms:modified xsi:type="dcterms:W3CDTF">2016-11-23T17:00:00Z</dcterms:modified>
</cp:coreProperties>
</file>